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614"/>
        <w:gridCol w:w="3746"/>
      </w:tblGrid>
      <w:tr w:rsidR="004F45C4" w:rsidRPr="003831E7" w14:paraId="5A474D51" w14:textId="77777777" w:rsidTr="003831E7">
        <w:tc>
          <w:tcPr>
            <w:tcW w:w="5778" w:type="dxa"/>
            <w:shd w:val="clear" w:color="auto" w:fill="auto"/>
          </w:tcPr>
          <w:p w14:paraId="694868E8" w14:textId="77777777" w:rsidR="004F45C4" w:rsidRPr="003831E7" w:rsidRDefault="00D95EF4" w:rsidP="003831E7">
            <w:pPr>
              <w:spacing w:before="240"/>
              <w:rPr>
                <w:b/>
                <w:sz w:val="40"/>
                <w:szCs w:val="40"/>
              </w:rPr>
            </w:pPr>
            <w:r>
              <w:rPr>
                <w:noProof/>
              </w:rPr>
              <mc:AlternateContent>
                <mc:Choice Requires="wps">
                  <w:drawing>
                    <wp:anchor distT="0" distB="0" distL="114300" distR="114300" simplePos="0" relativeHeight="251657728" behindDoc="0" locked="0" layoutInCell="1" allowOverlap="1" wp14:anchorId="0DBB9C0F" wp14:editId="715EAEBB">
                      <wp:simplePos x="0" y="0"/>
                      <wp:positionH relativeFrom="column">
                        <wp:posOffset>-139700</wp:posOffset>
                      </wp:positionH>
                      <wp:positionV relativeFrom="paragraph">
                        <wp:posOffset>267335</wp:posOffset>
                      </wp:positionV>
                      <wp:extent cx="3498850" cy="6572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A8305" w14:textId="77777777" w:rsidR="004E6F5A" w:rsidRPr="004E6F5A" w:rsidRDefault="004E6F5A" w:rsidP="004E6F5A">
                                  <w:pPr>
                                    <w:rPr>
                                      <w:spacing w:val="40"/>
                                      <w:sz w:val="60"/>
                                      <w:szCs w:val="60"/>
                                    </w:rPr>
                                  </w:pPr>
                                  <w:r w:rsidRPr="004E6F5A">
                                    <w:rPr>
                                      <w:spacing w:val="40"/>
                                      <w:sz w:val="60"/>
                                      <w:szCs w:val="60"/>
                                    </w:rPr>
                                    <w:t>Andrew J. Gerling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pt;margin-top:21.05pt;width:275.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" stroked="f">
                      <v:textbox>
                        <w:txbxContent>
                          <w:p w:rsidR="004E6F5A" w:rsidRPr="004E6F5A" w:rsidRDefault="004E6F5A" w:rsidP="004E6F5A">
                            <w:pPr>
                              <w:rPr>
                                <w:spacing w:val="40"/>
                                <w:sz w:val="60"/>
                                <w:szCs w:val="60"/>
                              </w:rPr>
                            </w:pPr>
                            <w:r w:rsidRPr="004E6F5A">
                              <w:rPr>
                                <w:spacing w:val="40"/>
                                <w:sz w:val="60"/>
                                <w:szCs w:val="60"/>
                              </w:rPr>
                              <w:t>Andrew J. Gerling</w:t>
                            </w:r>
                          </w:p>
                        </w:txbxContent>
                      </v:textbox>
                    </v:shape>
                  </w:pict>
                </mc:Fallback>
              </mc:AlternateContent>
            </w:r>
          </w:p>
        </w:tc>
        <w:tc>
          <w:tcPr>
            <w:tcW w:w="3798" w:type="dxa"/>
            <w:shd w:val="clear" w:color="auto" w:fill="auto"/>
          </w:tcPr>
          <w:p w14:paraId="19ED842B" w14:textId="77777777" w:rsidR="004E6F5A" w:rsidRPr="003831E7" w:rsidRDefault="004E6F5A" w:rsidP="004E6F5A">
            <w:pPr>
              <w:rPr>
                <w:sz w:val="22"/>
                <w:szCs w:val="22"/>
              </w:rPr>
            </w:pPr>
          </w:p>
          <w:p w14:paraId="47F43113" w14:textId="77777777" w:rsidR="004E6F5A" w:rsidRPr="003831E7" w:rsidRDefault="00966BB2" w:rsidP="004E6F5A">
            <w:pPr>
              <w:rPr>
                <w:sz w:val="22"/>
                <w:szCs w:val="22"/>
              </w:rPr>
            </w:pPr>
            <w:r>
              <w:rPr>
                <w:sz w:val="22"/>
                <w:szCs w:val="22"/>
              </w:rPr>
              <w:t>Managing</w:t>
            </w:r>
            <w:r w:rsidR="005C3E7C" w:rsidRPr="003831E7">
              <w:rPr>
                <w:sz w:val="22"/>
                <w:szCs w:val="22"/>
              </w:rPr>
              <w:t xml:space="preserve"> Shareholder </w:t>
            </w:r>
          </w:p>
          <w:p w14:paraId="7E0B7C5E" w14:textId="77777777" w:rsidR="004E6F5A" w:rsidRPr="003831E7" w:rsidRDefault="00BD72E7" w:rsidP="004E6F5A">
            <w:pPr>
              <w:rPr>
                <w:sz w:val="22"/>
                <w:szCs w:val="22"/>
              </w:rPr>
            </w:pPr>
            <w:r>
              <w:rPr>
                <w:sz w:val="22"/>
                <w:szCs w:val="22"/>
              </w:rPr>
              <w:t xml:space="preserve">Doucet Gerling, Co., L.P.A. </w:t>
            </w:r>
          </w:p>
          <w:p w14:paraId="19AF1385" w14:textId="77777777" w:rsidR="004E6F5A" w:rsidRPr="003831E7" w:rsidRDefault="00BD72E7" w:rsidP="004E6F5A">
            <w:pPr>
              <w:rPr>
                <w:sz w:val="22"/>
                <w:szCs w:val="22"/>
              </w:rPr>
            </w:pPr>
            <w:r>
              <w:rPr>
                <w:sz w:val="22"/>
                <w:szCs w:val="22"/>
              </w:rPr>
              <w:t>655 Metro Place, Suite 600</w:t>
            </w:r>
          </w:p>
          <w:p w14:paraId="6C8C820C" w14:textId="77777777" w:rsidR="004E6F5A" w:rsidRPr="003831E7" w:rsidRDefault="004E6F5A" w:rsidP="004E6F5A">
            <w:pPr>
              <w:rPr>
                <w:sz w:val="22"/>
                <w:szCs w:val="22"/>
              </w:rPr>
            </w:pPr>
            <w:r w:rsidRPr="003831E7">
              <w:rPr>
                <w:sz w:val="22"/>
                <w:szCs w:val="22"/>
              </w:rPr>
              <w:t>Dublin, Ohio 43017</w:t>
            </w:r>
          </w:p>
          <w:p w14:paraId="6565F10E" w14:textId="77777777" w:rsidR="004E6F5A" w:rsidRPr="003831E7" w:rsidRDefault="004E6F5A" w:rsidP="004E6F5A">
            <w:pPr>
              <w:rPr>
                <w:sz w:val="22"/>
                <w:szCs w:val="22"/>
              </w:rPr>
            </w:pPr>
            <w:r w:rsidRPr="003831E7">
              <w:rPr>
                <w:sz w:val="22"/>
                <w:szCs w:val="22"/>
              </w:rPr>
              <w:t xml:space="preserve">(614) </w:t>
            </w:r>
            <w:r w:rsidR="00BD72E7">
              <w:rPr>
                <w:sz w:val="22"/>
                <w:szCs w:val="22"/>
              </w:rPr>
              <w:t>221-9800</w:t>
            </w:r>
          </w:p>
          <w:p w14:paraId="12DD991B" w14:textId="77777777" w:rsidR="004E6F5A" w:rsidRPr="003831E7" w:rsidRDefault="009E4000" w:rsidP="004E6F5A">
            <w:pPr>
              <w:rPr>
                <w:sz w:val="22"/>
                <w:szCs w:val="22"/>
              </w:rPr>
            </w:pPr>
            <w:hyperlink r:id="rId7" w:history="1">
              <w:r w:rsidR="004E6F5A" w:rsidRPr="003831E7">
                <w:rPr>
                  <w:rStyle w:val="Hyperlink"/>
                  <w:sz w:val="22"/>
                  <w:szCs w:val="22"/>
                </w:rPr>
                <w:t>andrew@doucet.law</w:t>
              </w:r>
            </w:hyperlink>
            <w:r w:rsidR="004E6F5A" w:rsidRPr="003831E7">
              <w:rPr>
                <w:sz w:val="22"/>
                <w:szCs w:val="22"/>
              </w:rPr>
              <w:t xml:space="preserve"> </w:t>
            </w:r>
          </w:p>
        </w:tc>
      </w:tr>
    </w:tbl>
    <w:p w14:paraId="7C6DF237" w14:textId="77777777" w:rsidR="004F45C4" w:rsidRDefault="004F45C4" w:rsidP="005C3E7C">
      <w:pPr>
        <w:pBdr>
          <w:bottom w:val="single" w:sz="4" w:space="1" w:color="auto"/>
        </w:pBdr>
        <w:rPr>
          <w:b/>
          <w:sz w:val="22"/>
          <w:szCs w:val="22"/>
        </w:rPr>
      </w:pPr>
    </w:p>
    <w:p w14:paraId="20F2275C" w14:textId="77777777" w:rsidR="004E6F5A" w:rsidRPr="00EA1E21" w:rsidRDefault="004E6F5A" w:rsidP="004E6F5A">
      <w:pPr>
        <w:pBdr>
          <w:bottom w:val="single" w:sz="4" w:space="1" w:color="auto"/>
        </w:pBdr>
        <w:spacing w:before="240"/>
        <w:rPr>
          <w:b/>
          <w:sz w:val="22"/>
          <w:szCs w:val="22"/>
        </w:rPr>
      </w:pPr>
      <w:r>
        <w:rPr>
          <w:b/>
          <w:sz w:val="22"/>
          <w:szCs w:val="22"/>
        </w:rPr>
        <w:t>Licenses &amp; Court Admissions</w:t>
      </w:r>
    </w:p>
    <w:p w14:paraId="04DCC62C" w14:textId="77777777" w:rsidR="002B1EA5" w:rsidRDefault="002B1EA5" w:rsidP="004E6F5A">
      <w:pPr>
        <w:spacing w:before="120"/>
        <w:rPr>
          <w:sz w:val="22"/>
          <w:szCs w:val="22"/>
        </w:rPr>
      </w:pPr>
      <w:r>
        <w:rPr>
          <w:sz w:val="22"/>
          <w:szCs w:val="22"/>
        </w:rPr>
        <w:t>State of Ohio, November 2011</w:t>
      </w:r>
    </w:p>
    <w:p w14:paraId="24AB3FFB" w14:textId="77777777" w:rsidR="00ED76A5" w:rsidRDefault="00ED76A5" w:rsidP="002B1EA5">
      <w:pPr>
        <w:pBdr>
          <w:bottom w:val="single" w:sz="4" w:space="1" w:color="auto"/>
        </w:pBdr>
        <w:rPr>
          <w:sz w:val="22"/>
          <w:szCs w:val="22"/>
        </w:rPr>
      </w:pPr>
      <w:r>
        <w:rPr>
          <w:sz w:val="22"/>
          <w:szCs w:val="22"/>
        </w:rPr>
        <w:t xml:space="preserve">U.S. District Court, Southern District of Ohio, July 2012 </w:t>
      </w:r>
    </w:p>
    <w:p w14:paraId="58C24A49" w14:textId="77777777" w:rsidR="002C4729" w:rsidRDefault="002C4729" w:rsidP="002B1EA5">
      <w:pPr>
        <w:pBdr>
          <w:bottom w:val="single" w:sz="4" w:space="1" w:color="auto"/>
        </w:pBdr>
        <w:rPr>
          <w:sz w:val="22"/>
          <w:szCs w:val="22"/>
        </w:rPr>
      </w:pPr>
      <w:r>
        <w:rPr>
          <w:sz w:val="22"/>
          <w:szCs w:val="22"/>
        </w:rPr>
        <w:t>U.S. District Court, Northern District of Ohio, March 2015</w:t>
      </w:r>
    </w:p>
    <w:p w14:paraId="30A8C503" w14:textId="77777777" w:rsidR="00B20732" w:rsidRPr="00B20732" w:rsidRDefault="002C4729" w:rsidP="00B20732">
      <w:pPr>
        <w:pBdr>
          <w:bottom w:val="single" w:sz="4" w:space="1" w:color="auto"/>
        </w:pBdr>
        <w:rPr>
          <w:sz w:val="22"/>
          <w:szCs w:val="22"/>
        </w:rPr>
      </w:pPr>
      <w:r>
        <w:rPr>
          <w:sz w:val="22"/>
          <w:szCs w:val="22"/>
        </w:rPr>
        <w:t>U.S. Court of Appeals, Sixth Circuit, January 2015</w:t>
      </w:r>
    </w:p>
    <w:p w14:paraId="559ACC8B" w14:textId="77777777" w:rsidR="00902B47" w:rsidRPr="00902B47" w:rsidRDefault="00EA1E21" w:rsidP="00902B47">
      <w:pPr>
        <w:pBdr>
          <w:bottom w:val="single" w:sz="4" w:space="1" w:color="auto"/>
        </w:pBdr>
        <w:spacing w:before="240"/>
        <w:rPr>
          <w:b/>
          <w:sz w:val="22"/>
          <w:szCs w:val="22"/>
        </w:rPr>
      </w:pPr>
      <w:r>
        <w:rPr>
          <w:b/>
          <w:sz w:val="22"/>
          <w:szCs w:val="22"/>
        </w:rPr>
        <w:t>Awards</w:t>
      </w:r>
      <w:r w:rsidR="00AF4AF6">
        <w:rPr>
          <w:b/>
          <w:sz w:val="22"/>
          <w:szCs w:val="22"/>
        </w:rPr>
        <w:t xml:space="preserve"> &amp; Honors</w:t>
      </w:r>
    </w:p>
    <w:p w14:paraId="2EA5E323" w14:textId="77777777" w:rsidR="00902B47" w:rsidRDefault="00902B47" w:rsidP="00902B47">
      <w:pPr>
        <w:spacing w:before="120"/>
        <w:rPr>
          <w:b/>
          <w:sz w:val="22"/>
          <w:szCs w:val="22"/>
        </w:rPr>
      </w:pPr>
      <w:r w:rsidRPr="00902B47">
        <w:rPr>
          <w:b/>
          <w:sz w:val="22"/>
          <w:szCs w:val="22"/>
        </w:rPr>
        <w:t xml:space="preserve">2018-Present, AV Preeminent Rated, Martindale Hubbell </w:t>
      </w:r>
    </w:p>
    <w:p w14:paraId="2D078C1C" w14:textId="77777777" w:rsidR="005F0B05" w:rsidRPr="00902B47" w:rsidRDefault="005F0B05" w:rsidP="005F0B05">
      <w:pPr>
        <w:rPr>
          <w:b/>
          <w:sz w:val="22"/>
          <w:szCs w:val="22"/>
        </w:rPr>
      </w:pPr>
      <w:r>
        <w:rPr>
          <w:b/>
          <w:sz w:val="22"/>
          <w:szCs w:val="22"/>
        </w:rPr>
        <w:t>2022 – Present, Super Lawyer, Super Lawyer’s Magazine</w:t>
      </w:r>
    </w:p>
    <w:p w14:paraId="1596D236" w14:textId="77777777" w:rsidR="00B20732" w:rsidRDefault="00B20732" w:rsidP="00902B47">
      <w:pPr>
        <w:rPr>
          <w:b/>
          <w:sz w:val="22"/>
          <w:szCs w:val="22"/>
        </w:rPr>
      </w:pPr>
      <w:r w:rsidRPr="00902B47">
        <w:rPr>
          <w:b/>
          <w:sz w:val="22"/>
          <w:szCs w:val="22"/>
        </w:rPr>
        <w:t>2017</w:t>
      </w:r>
      <w:r w:rsidR="005F0B05">
        <w:rPr>
          <w:b/>
          <w:sz w:val="22"/>
          <w:szCs w:val="22"/>
        </w:rPr>
        <w:t>-2021</w:t>
      </w:r>
      <w:r w:rsidR="00EA1E21" w:rsidRPr="00902B47">
        <w:rPr>
          <w:b/>
          <w:sz w:val="22"/>
          <w:szCs w:val="22"/>
        </w:rPr>
        <w:t>,</w:t>
      </w:r>
      <w:r w:rsidRPr="00902B47">
        <w:rPr>
          <w:b/>
          <w:sz w:val="22"/>
          <w:szCs w:val="22"/>
        </w:rPr>
        <w:t xml:space="preserve"> Rising Star, </w:t>
      </w:r>
      <w:r w:rsidR="00B129BE" w:rsidRPr="00902B47">
        <w:rPr>
          <w:b/>
          <w:sz w:val="22"/>
          <w:szCs w:val="22"/>
        </w:rPr>
        <w:t xml:space="preserve">Super </w:t>
      </w:r>
      <w:r w:rsidRPr="00902B47">
        <w:rPr>
          <w:b/>
          <w:sz w:val="22"/>
          <w:szCs w:val="22"/>
        </w:rPr>
        <w:t>Lawyers Magazine</w:t>
      </w:r>
    </w:p>
    <w:p w14:paraId="560B1265" w14:textId="77777777" w:rsidR="00BD72E7" w:rsidRPr="00902B47" w:rsidRDefault="00BD72E7" w:rsidP="00902B47">
      <w:pPr>
        <w:rPr>
          <w:b/>
          <w:sz w:val="22"/>
          <w:szCs w:val="22"/>
        </w:rPr>
      </w:pPr>
      <w:r>
        <w:rPr>
          <w:b/>
          <w:sz w:val="22"/>
          <w:szCs w:val="22"/>
        </w:rPr>
        <w:t>2019-</w:t>
      </w:r>
      <w:r w:rsidR="00EC2601">
        <w:rPr>
          <w:b/>
          <w:sz w:val="22"/>
          <w:szCs w:val="22"/>
        </w:rPr>
        <w:t>2021</w:t>
      </w:r>
      <w:r>
        <w:rPr>
          <w:b/>
          <w:sz w:val="22"/>
          <w:szCs w:val="22"/>
        </w:rPr>
        <w:t xml:space="preserve">, Top Three Consumer Protection Lawyer, Columbus, Ohio, ThreeBestRated.com </w:t>
      </w:r>
    </w:p>
    <w:p w14:paraId="01CD900D" w14:textId="77777777" w:rsidR="00AF4AF6" w:rsidRDefault="00AF4AF6" w:rsidP="00B129BE">
      <w:pPr>
        <w:rPr>
          <w:sz w:val="22"/>
          <w:szCs w:val="22"/>
        </w:rPr>
      </w:pPr>
      <w:r>
        <w:rPr>
          <w:sz w:val="22"/>
          <w:szCs w:val="22"/>
        </w:rPr>
        <w:t>Order of the Curia, Capital University Law School</w:t>
      </w:r>
    </w:p>
    <w:p w14:paraId="461BF0A7" w14:textId="77777777" w:rsidR="00AF4AF6" w:rsidRDefault="00AF4AF6" w:rsidP="00B129BE">
      <w:pPr>
        <w:rPr>
          <w:sz w:val="22"/>
          <w:szCs w:val="22"/>
        </w:rPr>
      </w:pPr>
      <w:r>
        <w:rPr>
          <w:sz w:val="22"/>
          <w:szCs w:val="22"/>
        </w:rPr>
        <w:t xml:space="preserve">CALI </w:t>
      </w:r>
      <w:r w:rsidR="00902B47">
        <w:rPr>
          <w:sz w:val="22"/>
          <w:szCs w:val="22"/>
        </w:rPr>
        <w:t>excellence for the future award in jurisprudence</w:t>
      </w:r>
    </w:p>
    <w:p w14:paraId="38EC1DC6" w14:textId="77777777" w:rsidR="00AF4AF6" w:rsidRDefault="00AF4AF6" w:rsidP="00B129BE">
      <w:pPr>
        <w:rPr>
          <w:sz w:val="22"/>
          <w:szCs w:val="22"/>
        </w:rPr>
      </w:pPr>
      <w:r>
        <w:rPr>
          <w:i/>
          <w:sz w:val="22"/>
          <w:szCs w:val="22"/>
        </w:rPr>
        <w:t xml:space="preserve">Torch &amp; Key Club </w:t>
      </w:r>
      <w:r>
        <w:rPr>
          <w:sz w:val="22"/>
          <w:szCs w:val="22"/>
        </w:rPr>
        <w:t>for academic and community excellence, Otterbein College</w:t>
      </w:r>
    </w:p>
    <w:p w14:paraId="553EFD02" w14:textId="77777777" w:rsidR="00AF4AF6" w:rsidRDefault="00AF4AF6" w:rsidP="00B129BE">
      <w:pPr>
        <w:rPr>
          <w:sz w:val="22"/>
          <w:szCs w:val="22"/>
        </w:rPr>
      </w:pPr>
      <w:r>
        <w:rPr>
          <w:sz w:val="22"/>
          <w:szCs w:val="22"/>
        </w:rPr>
        <w:t>Political Science Departmental Honors, Otterbein College</w:t>
      </w:r>
    </w:p>
    <w:p w14:paraId="6C7D2BE3" w14:textId="77777777" w:rsidR="00AF4AF6" w:rsidRPr="00AF4AF6" w:rsidRDefault="00AF4AF6" w:rsidP="00B129BE">
      <w:r>
        <w:rPr>
          <w:sz w:val="22"/>
          <w:szCs w:val="22"/>
        </w:rPr>
        <w:t xml:space="preserve">Member Pi Sigma Alpha, National Political Science Honorary Society </w:t>
      </w:r>
    </w:p>
    <w:p w14:paraId="19098E77" w14:textId="77777777" w:rsidR="009A6C8F" w:rsidRDefault="003776C0" w:rsidP="009A6C8F">
      <w:pPr>
        <w:pBdr>
          <w:bottom w:val="single" w:sz="4" w:space="1" w:color="auto"/>
        </w:pBdr>
        <w:spacing w:before="240"/>
        <w:rPr>
          <w:b/>
          <w:sz w:val="22"/>
          <w:szCs w:val="22"/>
        </w:rPr>
      </w:pPr>
      <w:r w:rsidRPr="003E5796">
        <w:rPr>
          <w:b/>
          <w:sz w:val="22"/>
          <w:szCs w:val="22"/>
        </w:rPr>
        <w:t>Education</w:t>
      </w:r>
    </w:p>
    <w:p w14:paraId="1EAB2D65" w14:textId="77777777" w:rsidR="00DA41D1" w:rsidRPr="003E5796" w:rsidRDefault="00DA41D1" w:rsidP="0001428B">
      <w:pPr>
        <w:spacing w:before="120"/>
        <w:rPr>
          <w:sz w:val="22"/>
          <w:szCs w:val="22"/>
        </w:rPr>
      </w:pPr>
      <w:r w:rsidRPr="003E5796">
        <w:rPr>
          <w:b/>
          <w:sz w:val="22"/>
          <w:szCs w:val="22"/>
        </w:rPr>
        <w:t xml:space="preserve">Capital University Law School, </w:t>
      </w:r>
      <w:r w:rsidRPr="003E5796">
        <w:rPr>
          <w:sz w:val="22"/>
          <w:szCs w:val="22"/>
        </w:rPr>
        <w:t xml:space="preserve">Columbus, Ohio </w:t>
      </w:r>
    </w:p>
    <w:p w14:paraId="27F93E14" w14:textId="77777777" w:rsidR="0001428B" w:rsidRPr="00AF4AF6" w:rsidRDefault="0001428B" w:rsidP="00AF4AF6">
      <w:pPr>
        <w:rPr>
          <w:sz w:val="22"/>
          <w:szCs w:val="22"/>
        </w:rPr>
      </w:pPr>
      <w:r w:rsidRPr="003E5796">
        <w:rPr>
          <w:i/>
          <w:sz w:val="22"/>
          <w:szCs w:val="22"/>
        </w:rPr>
        <w:t>Juris Doctor</w:t>
      </w:r>
      <w:r w:rsidRPr="003E5796">
        <w:rPr>
          <w:sz w:val="22"/>
          <w:szCs w:val="22"/>
        </w:rPr>
        <w:t>, May 2011</w:t>
      </w:r>
    </w:p>
    <w:p w14:paraId="1FCF5C8F" w14:textId="77777777" w:rsidR="0001428B" w:rsidRPr="003E5796" w:rsidRDefault="0001428B" w:rsidP="0001428B">
      <w:pPr>
        <w:ind w:left="720"/>
        <w:rPr>
          <w:sz w:val="22"/>
          <w:szCs w:val="22"/>
        </w:rPr>
      </w:pPr>
    </w:p>
    <w:p w14:paraId="711EA4E0" w14:textId="77777777" w:rsidR="003776C0" w:rsidRPr="003E5796" w:rsidRDefault="003776C0" w:rsidP="003776C0">
      <w:pPr>
        <w:rPr>
          <w:sz w:val="22"/>
          <w:szCs w:val="22"/>
        </w:rPr>
      </w:pPr>
      <w:r w:rsidRPr="003E5796">
        <w:rPr>
          <w:b/>
          <w:sz w:val="22"/>
          <w:szCs w:val="22"/>
        </w:rPr>
        <w:t xml:space="preserve">Otterbein College, </w:t>
      </w:r>
      <w:r w:rsidRPr="003E5796">
        <w:rPr>
          <w:sz w:val="22"/>
          <w:szCs w:val="22"/>
        </w:rPr>
        <w:t xml:space="preserve">Westerville, Ohio </w:t>
      </w:r>
    </w:p>
    <w:p w14:paraId="3FA817CA" w14:textId="77777777" w:rsidR="003776C0" w:rsidRPr="003E5796" w:rsidRDefault="003776C0" w:rsidP="00B95938">
      <w:pPr>
        <w:rPr>
          <w:sz w:val="22"/>
          <w:szCs w:val="22"/>
        </w:rPr>
      </w:pPr>
      <w:r w:rsidRPr="003E5796">
        <w:rPr>
          <w:i/>
          <w:sz w:val="22"/>
          <w:szCs w:val="22"/>
        </w:rPr>
        <w:t>Bachelor of Arts</w:t>
      </w:r>
      <w:r w:rsidR="00742719" w:rsidRPr="003E5796">
        <w:rPr>
          <w:i/>
          <w:sz w:val="22"/>
          <w:szCs w:val="22"/>
        </w:rPr>
        <w:t xml:space="preserve"> in Political Science</w:t>
      </w:r>
      <w:r w:rsidR="005E1F0A" w:rsidRPr="003E5796">
        <w:rPr>
          <w:i/>
          <w:sz w:val="22"/>
          <w:szCs w:val="22"/>
        </w:rPr>
        <w:t>, Summa Cum Laude</w:t>
      </w:r>
      <w:r w:rsidR="0001428B" w:rsidRPr="003E5796">
        <w:rPr>
          <w:sz w:val="22"/>
          <w:szCs w:val="22"/>
        </w:rPr>
        <w:t xml:space="preserve">, </w:t>
      </w:r>
      <w:r w:rsidR="00742719" w:rsidRPr="003E5796">
        <w:rPr>
          <w:sz w:val="22"/>
          <w:szCs w:val="22"/>
        </w:rPr>
        <w:t>April</w:t>
      </w:r>
      <w:r w:rsidRPr="003E5796">
        <w:rPr>
          <w:sz w:val="22"/>
          <w:szCs w:val="22"/>
        </w:rPr>
        <w:t xml:space="preserve"> 2005</w:t>
      </w:r>
    </w:p>
    <w:p w14:paraId="2EA5884F" w14:textId="77777777" w:rsidR="00B95938" w:rsidRPr="003E5796" w:rsidRDefault="00B95938" w:rsidP="00B95938">
      <w:pPr>
        <w:rPr>
          <w:sz w:val="22"/>
          <w:szCs w:val="22"/>
        </w:rPr>
      </w:pPr>
    </w:p>
    <w:p w14:paraId="1F6B1611" w14:textId="77777777" w:rsidR="00B95938" w:rsidRPr="003E5796" w:rsidRDefault="00B95938" w:rsidP="00B95938">
      <w:pPr>
        <w:pBdr>
          <w:bottom w:val="single" w:sz="4" w:space="1" w:color="auto"/>
        </w:pBdr>
        <w:spacing w:after="120"/>
        <w:rPr>
          <w:b/>
          <w:sz w:val="22"/>
          <w:szCs w:val="22"/>
        </w:rPr>
      </w:pPr>
      <w:r>
        <w:rPr>
          <w:b/>
          <w:sz w:val="22"/>
          <w:szCs w:val="22"/>
        </w:rPr>
        <w:t xml:space="preserve">Relevant Case Results </w:t>
      </w:r>
    </w:p>
    <w:p w14:paraId="6A3A5C12" w14:textId="77777777" w:rsidR="00BC4445" w:rsidRPr="00BC4445" w:rsidRDefault="00BC4445" w:rsidP="00DC174D">
      <w:pPr>
        <w:spacing w:after="120"/>
        <w:rPr>
          <w:b/>
          <w:sz w:val="22"/>
          <w:szCs w:val="22"/>
        </w:rPr>
      </w:pPr>
      <w:r w:rsidRPr="00BC4445">
        <w:rPr>
          <w:b/>
          <w:sz w:val="22"/>
          <w:szCs w:val="22"/>
        </w:rPr>
        <w:t>App</w:t>
      </w:r>
      <w:r>
        <w:rPr>
          <w:b/>
          <w:sz w:val="22"/>
          <w:szCs w:val="22"/>
        </w:rPr>
        <w:t>ellate Cases</w:t>
      </w:r>
    </w:p>
    <w:p w14:paraId="5BEB0CD5" w14:textId="77777777" w:rsidR="00500BE3" w:rsidRDefault="00500BE3" w:rsidP="00DC174D">
      <w:pPr>
        <w:spacing w:after="120"/>
        <w:rPr>
          <w:sz w:val="22"/>
          <w:szCs w:val="22"/>
        </w:rPr>
      </w:pPr>
      <w:r>
        <w:rPr>
          <w:b/>
          <w:i/>
          <w:sz w:val="22"/>
          <w:szCs w:val="22"/>
        </w:rPr>
        <w:t xml:space="preserve">Hurst v. Caliber Home Loans, Inc., </w:t>
      </w:r>
      <w:r>
        <w:rPr>
          <w:b/>
          <w:sz w:val="22"/>
          <w:szCs w:val="22"/>
        </w:rPr>
        <w:t>44 F.4 418 (6</w:t>
      </w:r>
      <w:r w:rsidRPr="00500BE3">
        <w:rPr>
          <w:b/>
          <w:sz w:val="22"/>
          <w:szCs w:val="22"/>
          <w:vertAlign w:val="superscript"/>
        </w:rPr>
        <w:t>th</w:t>
      </w:r>
      <w:r>
        <w:rPr>
          <w:b/>
          <w:sz w:val="22"/>
          <w:szCs w:val="22"/>
        </w:rPr>
        <w:t xml:space="preserve"> Cir. 2022) </w:t>
      </w:r>
      <w:r>
        <w:rPr>
          <w:sz w:val="22"/>
          <w:szCs w:val="22"/>
        </w:rPr>
        <w:t>– Reversed trial court’s granting of summary judgment to mortgage servicer on borrower’s claim under the Real Estate Settlement Procedures Act (“RESPA”).  The 6</w:t>
      </w:r>
      <w:r w:rsidRPr="00500BE3">
        <w:rPr>
          <w:sz w:val="22"/>
          <w:szCs w:val="22"/>
          <w:vertAlign w:val="superscript"/>
        </w:rPr>
        <w:t>th</w:t>
      </w:r>
      <w:r>
        <w:rPr>
          <w:sz w:val="22"/>
          <w:szCs w:val="22"/>
        </w:rPr>
        <w:t xml:space="preserve"> Circuit held a borrower satisfies the injury-in-fact element of Article III standing where she incurred attorney fees separate and apart from underlying proceeding.  The court also held confusing and conflicting information given by mortgage servicer over the telephone should have been considered in determining whether it violated its duty to exercise reasonable diligence </w:t>
      </w:r>
      <w:r w:rsidR="00EC2601">
        <w:rPr>
          <w:sz w:val="22"/>
          <w:szCs w:val="22"/>
        </w:rPr>
        <w:t>when</w:t>
      </w:r>
      <w:r>
        <w:rPr>
          <w:sz w:val="22"/>
          <w:szCs w:val="22"/>
        </w:rPr>
        <w:t xml:space="preserve"> requesting additional information in </w:t>
      </w:r>
      <w:r w:rsidR="00EC2601">
        <w:rPr>
          <w:sz w:val="22"/>
          <w:szCs w:val="22"/>
        </w:rPr>
        <w:t xml:space="preserve">connection with a borrower’s loss mitigation application.  </w:t>
      </w:r>
    </w:p>
    <w:p w14:paraId="63582F9A" w14:textId="77777777" w:rsidR="00EC2601" w:rsidRPr="00EC2601" w:rsidRDefault="00EC2601" w:rsidP="00DC174D">
      <w:pPr>
        <w:spacing w:after="120"/>
        <w:rPr>
          <w:sz w:val="22"/>
          <w:szCs w:val="22"/>
        </w:rPr>
      </w:pPr>
      <w:r>
        <w:rPr>
          <w:b/>
          <w:i/>
          <w:sz w:val="22"/>
          <w:szCs w:val="22"/>
        </w:rPr>
        <w:t xml:space="preserve">Kemba Fin. Credit Union v. Jackson on High Condo. </w:t>
      </w:r>
      <w:proofErr w:type="spellStart"/>
      <w:r>
        <w:rPr>
          <w:b/>
          <w:i/>
          <w:sz w:val="22"/>
          <w:szCs w:val="22"/>
        </w:rPr>
        <w:t>Ass’n</w:t>
      </w:r>
      <w:proofErr w:type="spellEnd"/>
      <w:r>
        <w:rPr>
          <w:b/>
          <w:i/>
          <w:sz w:val="22"/>
          <w:szCs w:val="22"/>
        </w:rPr>
        <w:t xml:space="preserve">., </w:t>
      </w:r>
      <w:r>
        <w:rPr>
          <w:b/>
          <w:sz w:val="22"/>
          <w:szCs w:val="22"/>
        </w:rPr>
        <w:t>10</w:t>
      </w:r>
      <w:r w:rsidRPr="00EC2601">
        <w:rPr>
          <w:b/>
          <w:sz w:val="22"/>
          <w:szCs w:val="22"/>
          <w:vertAlign w:val="superscript"/>
        </w:rPr>
        <w:t>th</w:t>
      </w:r>
      <w:r>
        <w:rPr>
          <w:b/>
          <w:sz w:val="22"/>
          <w:szCs w:val="22"/>
        </w:rPr>
        <w:t xml:space="preserve"> Dist. Franklin No. 21AP-408,</w:t>
      </w:r>
      <w:r>
        <w:rPr>
          <w:b/>
          <w:i/>
          <w:sz w:val="22"/>
          <w:szCs w:val="22"/>
        </w:rPr>
        <w:t xml:space="preserve"> </w:t>
      </w:r>
      <w:r>
        <w:rPr>
          <w:b/>
          <w:sz w:val="22"/>
          <w:szCs w:val="22"/>
        </w:rPr>
        <w:t xml:space="preserve">2022-Ohio-3247 – </w:t>
      </w:r>
      <w:r>
        <w:rPr>
          <w:sz w:val="22"/>
          <w:szCs w:val="22"/>
        </w:rPr>
        <w:t xml:space="preserve">Reversed trial court’s reinstating lender’s first-priority lien status after it voluntarily recorded a release of mortgage. </w:t>
      </w:r>
      <w:r w:rsidR="00492591">
        <w:rPr>
          <w:sz w:val="22"/>
          <w:szCs w:val="22"/>
        </w:rPr>
        <w:t xml:space="preserve"> The court held that Ohio’s recording statues govern priority and junior lien holder assumed priority after lender recorded release of its mortgage.  </w:t>
      </w:r>
    </w:p>
    <w:p w14:paraId="49271A2F" w14:textId="77777777" w:rsidR="00B95938" w:rsidRDefault="00B95938" w:rsidP="00DC174D">
      <w:pPr>
        <w:spacing w:after="120"/>
        <w:rPr>
          <w:sz w:val="22"/>
          <w:szCs w:val="22"/>
        </w:rPr>
      </w:pPr>
      <w:r w:rsidRPr="00C13AA2">
        <w:rPr>
          <w:b/>
          <w:i/>
          <w:sz w:val="22"/>
          <w:szCs w:val="22"/>
        </w:rPr>
        <w:t xml:space="preserve">Father’s House </w:t>
      </w:r>
      <w:proofErr w:type="spellStart"/>
      <w:r w:rsidRPr="00C13AA2">
        <w:rPr>
          <w:b/>
          <w:i/>
          <w:sz w:val="22"/>
          <w:szCs w:val="22"/>
        </w:rPr>
        <w:t>Internatl</w:t>
      </w:r>
      <w:proofErr w:type="spellEnd"/>
      <w:r w:rsidRPr="00C13AA2">
        <w:rPr>
          <w:b/>
          <w:i/>
          <w:sz w:val="22"/>
          <w:szCs w:val="22"/>
        </w:rPr>
        <w:t xml:space="preserve">., Inc. v. </w:t>
      </w:r>
      <w:proofErr w:type="spellStart"/>
      <w:r w:rsidRPr="00C13AA2">
        <w:rPr>
          <w:b/>
          <w:i/>
          <w:sz w:val="22"/>
          <w:szCs w:val="22"/>
        </w:rPr>
        <w:t>Kurguz</w:t>
      </w:r>
      <w:proofErr w:type="spellEnd"/>
      <w:r>
        <w:rPr>
          <w:i/>
          <w:sz w:val="22"/>
          <w:szCs w:val="22"/>
        </w:rPr>
        <w:t>,</w:t>
      </w:r>
      <w:r>
        <w:rPr>
          <w:sz w:val="22"/>
          <w:szCs w:val="22"/>
        </w:rPr>
        <w:t xml:space="preserve"> </w:t>
      </w:r>
      <w:r w:rsidRPr="00C13AA2">
        <w:rPr>
          <w:b/>
          <w:sz w:val="22"/>
          <w:szCs w:val="22"/>
        </w:rPr>
        <w:t>2016-Ohio-5945, 71 N.E.3d 711 (10</w:t>
      </w:r>
      <w:r w:rsidRPr="00C13AA2">
        <w:rPr>
          <w:b/>
          <w:sz w:val="22"/>
          <w:szCs w:val="22"/>
          <w:vertAlign w:val="superscript"/>
        </w:rPr>
        <w:t>th</w:t>
      </w:r>
      <w:r w:rsidRPr="00C13AA2">
        <w:rPr>
          <w:b/>
          <w:sz w:val="22"/>
          <w:szCs w:val="22"/>
        </w:rPr>
        <w:t xml:space="preserve"> Dist.)</w:t>
      </w:r>
      <w:r w:rsidR="00902B47">
        <w:rPr>
          <w:b/>
          <w:sz w:val="22"/>
          <w:szCs w:val="22"/>
        </w:rPr>
        <w:t xml:space="preserve"> </w:t>
      </w:r>
      <w:r w:rsidR="00902B47">
        <w:rPr>
          <w:sz w:val="22"/>
          <w:szCs w:val="22"/>
        </w:rPr>
        <w:t>– Upheld jury verdict</w:t>
      </w:r>
      <w:r w:rsidR="009926EA">
        <w:rPr>
          <w:sz w:val="22"/>
          <w:szCs w:val="22"/>
        </w:rPr>
        <w:t xml:space="preserve"> on a claim for breach of a commercial land installment contract.  In this published opinion the appellate court clarified the legal rules for election of remedies and expectation damages under contract law in Ohio.    </w:t>
      </w:r>
    </w:p>
    <w:p w14:paraId="7C2464D9" w14:textId="77777777" w:rsidR="002170F9" w:rsidRPr="002170F9" w:rsidRDefault="002170F9" w:rsidP="00DC174D">
      <w:pPr>
        <w:spacing w:after="120"/>
        <w:rPr>
          <w:sz w:val="22"/>
          <w:szCs w:val="22"/>
        </w:rPr>
      </w:pPr>
      <w:r w:rsidRPr="002170F9">
        <w:rPr>
          <w:b/>
          <w:i/>
          <w:sz w:val="22"/>
          <w:szCs w:val="22"/>
        </w:rPr>
        <w:lastRenderedPageBreak/>
        <w:t xml:space="preserve">Wells Fargo Bank, N.A. v. </w:t>
      </w:r>
      <w:proofErr w:type="spellStart"/>
      <w:r w:rsidRPr="002170F9">
        <w:rPr>
          <w:b/>
          <w:i/>
          <w:sz w:val="22"/>
          <w:szCs w:val="22"/>
        </w:rPr>
        <w:t>Gerst</w:t>
      </w:r>
      <w:proofErr w:type="spellEnd"/>
      <w:r w:rsidRPr="002170F9">
        <w:rPr>
          <w:b/>
          <w:i/>
          <w:sz w:val="22"/>
          <w:szCs w:val="22"/>
        </w:rPr>
        <w:t xml:space="preserve">, </w:t>
      </w:r>
      <w:r w:rsidRPr="002170F9">
        <w:rPr>
          <w:b/>
          <w:sz w:val="22"/>
          <w:szCs w:val="22"/>
        </w:rPr>
        <w:t>5</w:t>
      </w:r>
      <w:r w:rsidRPr="002170F9">
        <w:rPr>
          <w:b/>
          <w:sz w:val="22"/>
          <w:szCs w:val="22"/>
          <w:vertAlign w:val="superscript"/>
        </w:rPr>
        <w:t>th</w:t>
      </w:r>
      <w:r w:rsidRPr="002170F9">
        <w:rPr>
          <w:b/>
          <w:sz w:val="22"/>
          <w:szCs w:val="22"/>
        </w:rPr>
        <w:t xml:space="preserve"> Dist. Delaware No. 2015 CAE 01 0004, 2015-Ohio-3776</w:t>
      </w:r>
      <w:r>
        <w:rPr>
          <w:sz w:val="22"/>
          <w:szCs w:val="22"/>
        </w:rPr>
        <w:t xml:space="preserve"> – Reversed trial court’s </w:t>
      </w:r>
      <w:r w:rsidR="006508A4">
        <w:rPr>
          <w:sz w:val="22"/>
          <w:szCs w:val="22"/>
        </w:rPr>
        <w:t>granting</w:t>
      </w:r>
      <w:r w:rsidR="00162DB7">
        <w:rPr>
          <w:sz w:val="22"/>
          <w:szCs w:val="22"/>
        </w:rPr>
        <w:t xml:space="preserve"> a dismissal</w:t>
      </w:r>
      <w:r w:rsidR="006508A4">
        <w:rPr>
          <w:sz w:val="22"/>
          <w:szCs w:val="22"/>
        </w:rPr>
        <w:t xml:space="preserve"> of a foreclosure lawsuit under Civ. R. 41(A)(2).  The appellate court held the trial court committed reversible error by failing to provide the homeowners an opportunity to </w:t>
      </w:r>
      <w:r w:rsidR="00E362C1">
        <w:rPr>
          <w:sz w:val="22"/>
          <w:szCs w:val="22"/>
        </w:rPr>
        <w:t>argue against dismissal on</w:t>
      </w:r>
      <w:r w:rsidR="00162DB7">
        <w:rPr>
          <w:sz w:val="22"/>
          <w:szCs w:val="22"/>
        </w:rPr>
        <w:t xml:space="preserve"> the</w:t>
      </w:r>
      <w:r w:rsidR="00E362C1">
        <w:rPr>
          <w:sz w:val="22"/>
          <w:szCs w:val="22"/>
        </w:rPr>
        <w:t xml:space="preserve"> bank’s terms.  </w:t>
      </w:r>
      <w:r>
        <w:rPr>
          <w:sz w:val="22"/>
          <w:szCs w:val="22"/>
        </w:rPr>
        <w:t xml:space="preserve"> </w:t>
      </w:r>
    </w:p>
    <w:p w14:paraId="1B3DC8A1" w14:textId="77777777" w:rsidR="002170F9" w:rsidRDefault="00534432" w:rsidP="00DC174D">
      <w:pPr>
        <w:spacing w:after="120"/>
        <w:rPr>
          <w:sz w:val="22"/>
          <w:szCs w:val="22"/>
        </w:rPr>
      </w:pPr>
      <w:r>
        <w:rPr>
          <w:b/>
          <w:i/>
          <w:sz w:val="22"/>
          <w:szCs w:val="22"/>
        </w:rPr>
        <w:t>Nationstar v. Purnell,</w:t>
      </w:r>
      <w:r>
        <w:rPr>
          <w:b/>
          <w:sz w:val="22"/>
          <w:szCs w:val="22"/>
        </w:rPr>
        <w:t>5</w:t>
      </w:r>
      <w:r w:rsidRPr="00534432">
        <w:rPr>
          <w:b/>
          <w:sz w:val="22"/>
          <w:szCs w:val="22"/>
          <w:vertAlign w:val="superscript"/>
        </w:rPr>
        <w:t>th</w:t>
      </w:r>
      <w:r>
        <w:rPr>
          <w:b/>
          <w:sz w:val="22"/>
          <w:szCs w:val="22"/>
        </w:rPr>
        <w:t xml:space="preserve"> Dist. Fairfield No. 13-CA-74,</w:t>
      </w:r>
      <w:r>
        <w:rPr>
          <w:b/>
          <w:i/>
          <w:sz w:val="22"/>
          <w:szCs w:val="22"/>
        </w:rPr>
        <w:t xml:space="preserve"> </w:t>
      </w:r>
      <w:r>
        <w:rPr>
          <w:b/>
          <w:sz w:val="22"/>
          <w:szCs w:val="22"/>
        </w:rPr>
        <w:t xml:space="preserve">2014-Ohio-2824 </w:t>
      </w:r>
      <w:r>
        <w:rPr>
          <w:sz w:val="22"/>
          <w:szCs w:val="22"/>
        </w:rPr>
        <w:t xml:space="preserve">– Reversed trial court’s denial of homeowner’s motion for relief from a default judgment decree in foreclosure.  The appellate court held that a homeowner is entitled to </w:t>
      </w:r>
      <w:r w:rsidR="00613536">
        <w:rPr>
          <w:sz w:val="22"/>
          <w:szCs w:val="22"/>
        </w:rPr>
        <w:t>an evidentiary hearing when she</w:t>
      </w:r>
      <w:r>
        <w:rPr>
          <w:sz w:val="22"/>
          <w:szCs w:val="22"/>
        </w:rPr>
        <w:t xml:space="preserve"> present</w:t>
      </w:r>
      <w:r w:rsidR="00613536">
        <w:rPr>
          <w:sz w:val="22"/>
          <w:szCs w:val="22"/>
        </w:rPr>
        <w:t xml:space="preserve">ed </w:t>
      </w:r>
      <w:r w:rsidR="00F55141">
        <w:rPr>
          <w:sz w:val="22"/>
          <w:szCs w:val="22"/>
        </w:rPr>
        <w:t>evidentiary quality facts that show</w:t>
      </w:r>
      <w:r>
        <w:rPr>
          <w:sz w:val="22"/>
          <w:szCs w:val="22"/>
        </w:rPr>
        <w:t xml:space="preserve"> a meritorious defense in support of a motion for relief from judgment.</w:t>
      </w:r>
    </w:p>
    <w:p w14:paraId="2C467C44" w14:textId="77777777" w:rsidR="00534432" w:rsidRDefault="002170F9" w:rsidP="00DC174D">
      <w:pPr>
        <w:spacing w:after="120"/>
        <w:rPr>
          <w:sz w:val="22"/>
          <w:szCs w:val="22"/>
        </w:rPr>
      </w:pPr>
      <w:r>
        <w:rPr>
          <w:b/>
          <w:i/>
          <w:sz w:val="22"/>
          <w:szCs w:val="22"/>
        </w:rPr>
        <w:t xml:space="preserve">Citibank, N.A. v. Slorp, </w:t>
      </w:r>
      <w:r>
        <w:rPr>
          <w:b/>
          <w:sz w:val="22"/>
          <w:szCs w:val="22"/>
        </w:rPr>
        <w:t>10</w:t>
      </w:r>
      <w:r w:rsidRPr="002170F9">
        <w:rPr>
          <w:b/>
          <w:sz w:val="22"/>
          <w:szCs w:val="22"/>
          <w:vertAlign w:val="superscript"/>
        </w:rPr>
        <w:t>th</w:t>
      </w:r>
      <w:r>
        <w:rPr>
          <w:b/>
          <w:sz w:val="22"/>
          <w:szCs w:val="22"/>
        </w:rPr>
        <w:t xml:space="preserve"> Dist. Franklin No. 13AP-513, 2013-Ohio-5331 </w:t>
      </w:r>
      <w:r>
        <w:rPr>
          <w:sz w:val="22"/>
          <w:szCs w:val="22"/>
        </w:rPr>
        <w:t xml:space="preserve">– Reversed trial court’s granting a dismissal of a foreclosure lawsuit under Civ. R. 41(A)(2).  The appellate court found that had the court not dismissed the case prematurely judgment could have been granted in the homeowner’s favor in the underlying case.   </w:t>
      </w:r>
      <w:r w:rsidR="00534432">
        <w:rPr>
          <w:sz w:val="22"/>
          <w:szCs w:val="22"/>
        </w:rPr>
        <w:t xml:space="preserve">  </w:t>
      </w:r>
    </w:p>
    <w:p w14:paraId="271A03E3" w14:textId="77777777" w:rsidR="00BC4445" w:rsidRDefault="00BC4445" w:rsidP="00DC174D">
      <w:pPr>
        <w:spacing w:after="120"/>
        <w:rPr>
          <w:sz w:val="22"/>
          <w:szCs w:val="22"/>
        </w:rPr>
      </w:pPr>
    </w:p>
    <w:p w14:paraId="2C13E45F" w14:textId="77777777" w:rsidR="00BC4445" w:rsidRDefault="00BC4445" w:rsidP="00DC174D">
      <w:pPr>
        <w:spacing w:after="120"/>
        <w:rPr>
          <w:b/>
          <w:sz w:val="22"/>
          <w:szCs w:val="22"/>
        </w:rPr>
      </w:pPr>
      <w:r w:rsidRPr="00BC4445">
        <w:rPr>
          <w:b/>
          <w:sz w:val="22"/>
          <w:szCs w:val="22"/>
        </w:rPr>
        <w:t>Trial Cases</w:t>
      </w:r>
    </w:p>
    <w:p w14:paraId="122CE03D" w14:textId="77777777" w:rsidR="00BC4445" w:rsidRPr="00BC4445" w:rsidRDefault="00BC4445" w:rsidP="00DC174D">
      <w:pPr>
        <w:spacing w:after="120"/>
        <w:rPr>
          <w:sz w:val="22"/>
          <w:szCs w:val="22"/>
        </w:rPr>
      </w:pPr>
      <w:r>
        <w:rPr>
          <w:b/>
          <w:i/>
          <w:sz w:val="22"/>
          <w:szCs w:val="22"/>
        </w:rPr>
        <w:t>In re: Forson</w:t>
      </w:r>
      <w:r>
        <w:rPr>
          <w:b/>
          <w:sz w:val="22"/>
          <w:szCs w:val="22"/>
        </w:rPr>
        <w:t>, 583 B.R. 704 (</w:t>
      </w:r>
      <w:proofErr w:type="spellStart"/>
      <w:r>
        <w:rPr>
          <w:b/>
          <w:sz w:val="22"/>
          <w:szCs w:val="22"/>
        </w:rPr>
        <w:t>Bankr</w:t>
      </w:r>
      <w:proofErr w:type="spellEnd"/>
      <w:r>
        <w:rPr>
          <w:b/>
          <w:sz w:val="22"/>
          <w:szCs w:val="22"/>
        </w:rPr>
        <w:t xml:space="preserve">. S.D. Ohio 2018), </w:t>
      </w:r>
      <w:r>
        <w:rPr>
          <w:sz w:val="22"/>
          <w:szCs w:val="22"/>
        </w:rPr>
        <w:t xml:space="preserve">Summary judgment on individual claim in class action for a mortgage lender’s violation of the bankruptcy discharge injunction under 11 U.S.C. § 524.  Thereafter, the case settled. </w:t>
      </w:r>
    </w:p>
    <w:p w14:paraId="5EA341D3" w14:textId="77777777" w:rsidR="002170F9" w:rsidRPr="002170F9" w:rsidRDefault="00B95938" w:rsidP="00B95938">
      <w:pPr>
        <w:shd w:val="clear" w:color="auto" w:fill="FFFFFF"/>
        <w:rPr>
          <w:color w:val="000000"/>
          <w:sz w:val="22"/>
          <w:szCs w:val="22"/>
        </w:rPr>
      </w:pPr>
      <w:r>
        <w:rPr>
          <w:b/>
          <w:i/>
          <w:color w:val="000000"/>
          <w:sz w:val="22"/>
          <w:szCs w:val="22"/>
        </w:rPr>
        <w:t xml:space="preserve">Barrett-O’Neill v. Lalo, LLC, </w:t>
      </w:r>
      <w:r>
        <w:rPr>
          <w:b/>
          <w:color w:val="000000"/>
          <w:sz w:val="22"/>
          <w:szCs w:val="22"/>
        </w:rPr>
        <w:t xml:space="preserve">171 F.Supp.3d 725 (S.D. Ohio 2016) – </w:t>
      </w:r>
      <w:r>
        <w:rPr>
          <w:color w:val="000000"/>
          <w:sz w:val="22"/>
          <w:szCs w:val="22"/>
        </w:rPr>
        <w:t>Summary Judgment for claims under Ohio’</w:t>
      </w:r>
      <w:r w:rsidR="00162DB7">
        <w:rPr>
          <w:color w:val="000000"/>
          <w:sz w:val="22"/>
          <w:szCs w:val="22"/>
        </w:rPr>
        <w:t>s Consumer Sale</w:t>
      </w:r>
      <w:r w:rsidR="009926EA">
        <w:rPr>
          <w:color w:val="000000"/>
          <w:sz w:val="22"/>
          <w:szCs w:val="22"/>
        </w:rPr>
        <w:t>s Practices Act</w:t>
      </w:r>
      <w:r w:rsidR="00CF0225">
        <w:rPr>
          <w:color w:val="000000"/>
          <w:sz w:val="22"/>
          <w:szCs w:val="22"/>
        </w:rPr>
        <w:t>.  In this published opinion, t</w:t>
      </w:r>
      <w:r>
        <w:rPr>
          <w:color w:val="000000"/>
          <w:sz w:val="22"/>
          <w:szCs w:val="22"/>
        </w:rPr>
        <w:t xml:space="preserve">he federal trial court found provisions of </w:t>
      </w:r>
      <w:r w:rsidR="009926EA">
        <w:rPr>
          <w:color w:val="000000"/>
          <w:sz w:val="22"/>
          <w:szCs w:val="22"/>
        </w:rPr>
        <w:t xml:space="preserve">a </w:t>
      </w:r>
      <w:r>
        <w:rPr>
          <w:color w:val="000000"/>
          <w:sz w:val="22"/>
          <w:szCs w:val="22"/>
        </w:rPr>
        <w:t xml:space="preserve">bailment contract with </w:t>
      </w:r>
      <w:r w:rsidR="009926EA">
        <w:rPr>
          <w:color w:val="000000"/>
          <w:sz w:val="22"/>
          <w:szCs w:val="22"/>
        </w:rPr>
        <w:t xml:space="preserve">a </w:t>
      </w:r>
      <w:r>
        <w:rPr>
          <w:color w:val="000000"/>
          <w:sz w:val="22"/>
          <w:szCs w:val="22"/>
        </w:rPr>
        <w:t xml:space="preserve">consumer for </w:t>
      </w:r>
      <w:r w:rsidR="009926EA">
        <w:rPr>
          <w:color w:val="000000"/>
          <w:sz w:val="22"/>
          <w:szCs w:val="22"/>
        </w:rPr>
        <w:t>“</w:t>
      </w:r>
      <w:r>
        <w:rPr>
          <w:color w:val="000000"/>
          <w:sz w:val="22"/>
          <w:szCs w:val="22"/>
        </w:rPr>
        <w:t>senior downsizing</w:t>
      </w:r>
      <w:r w:rsidR="009926EA">
        <w:rPr>
          <w:color w:val="000000"/>
          <w:sz w:val="22"/>
          <w:szCs w:val="22"/>
        </w:rPr>
        <w:t xml:space="preserve">” </w:t>
      </w:r>
      <w:r>
        <w:rPr>
          <w:color w:val="000000"/>
          <w:sz w:val="22"/>
          <w:szCs w:val="22"/>
        </w:rPr>
        <w:t>violate</w:t>
      </w:r>
      <w:r w:rsidR="009926EA">
        <w:rPr>
          <w:color w:val="000000"/>
          <w:sz w:val="22"/>
          <w:szCs w:val="22"/>
        </w:rPr>
        <w:t>d</w:t>
      </w:r>
      <w:r>
        <w:rPr>
          <w:color w:val="000000"/>
          <w:sz w:val="22"/>
          <w:szCs w:val="22"/>
        </w:rPr>
        <w:t xml:space="preserve"> Ohio’s consumer protection laws.</w:t>
      </w:r>
      <w:r w:rsidR="00CF0225">
        <w:rPr>
          <w:color w:val="000000"/>
          <w:sz w:val="22"/>
          <w:szCs w:val="22"/>
        </w:rPr>
        <w:t xml:space="preserve"> </w:t>
      </w:r>
      <w:r>
        <w:rPr>
          <w:color w:val="000000"/>
          <w:sz w:val="22"/>
          <w:szCs w:val="22"/>
        </w:rPr>
        <w:t xml:space="preserve">  </w:t>
      </w:r>
    </w:p>
    <w:p w14:paraId="3821284D" w14:textId="77777777" w:rsidR="00B95938" w:rsidRPr="00C13AA2" w:rsidRDefault="00B95938" w:rsidP="00E362C1">
      <w:pPr>
        <w:shd w:val="clear" w:color="auto" w:fill="FFFFFF"/>
        <w:spacing w:before="120"/>
        <w:rPr>
          <w:color w:val="000000"/>
          <w:sz w:val="22"/>
          <w:szCs w:val="22"/>
        </w:rPr>
      </w:pPr>
      <w:r w:rsidRPr="00C13AA2">
        <w:rPr>
          <w:b/>
          <w:i/>
          <w:color w:val="000000"/>
          <w:sz w:val="22"/>
          <w:szCs w:val="22"/>
        </w:rPr>
        <w:t>Washington v. Green Tree Servicing LLC</w:t>
      </w:r>
      <w:r>
        <w:rPr>
          <w:b/>
          <w:color w:val="000000"/>
          <w:sz w:val="22"/>
          <w:szCs w:val="22"/>
        </w:rPr>
        <w:t>, 1:15-cv</w:t>
      </w:r>
      <w:r w:rsidRPr="00C13AA2">
        <w:rPr>
          <w:b/>
          <w:color w:val="000000"/>
          <w:sz w:val="22"/>
          <w:szCs w:val="22"/>
        </w:rPr>
        <w:t>-354, 2017 WL 1857258, at *1 (S.D. Ohio May 5, 2017), </w:t>
      </w:r>
      <w:r w:rsidRPr="00C13AA2">
        <w:rPr>
          <w:b/>
          <w:i/>
          <w:color w:val="000000"/>
          <w:sz w:val="22"/>
          <w:szCs w:val="22"/>
        </w:rPr>
        <w:t>report and recommendation adopted</w:t>
      </w:r>
      <w:r w:rsidRPr="00C13AA2">
        <w:rPr>
          <w:b/>
          <w:color w:val="000000"/>
          <w:sz w:val="22"/>
          <w:szCs w:val="22"/>
          <w:u w:val="single"/>
        </w:rPr>
        <w:t>,</w:t>
      </w:r>
      <w:r w:rsidRPr="00C13AA2">
        <w:rPr>
          <w:b/>
          <w:color w:val="000000"/>
          <w:sz w:val="22"/>
          <w:szCs w:val="22"/>
        </w:rPr>
        <w:t> No. 1:15CV354, 2017 WL 2599252 (S.D. Ohio June 15, 2017)</w:t>
      </w:r>
      <w:r w:rsidRPr="00C13AA2">
        <w:rPr>
          <w:color w:val="000000"/>
          <w:sz w:val="22"/>
          <w:szCs w:val="22"/>
        </w:rPr>
        <w:t xml:space="preserve"> – </w:t>
      </w:r>
      <w:r>
        <w:rPr>
          <w:color w:val="000000"/>
          <w:sz w:val="22"/>
          <w:szCs w:val="22"/>
        </w:rPr>
        <w:t xml:space="preserve">Summary judgment for </w:t>
      </w:r>
      <w:r w:rsidR="009926EA">
        <w:rPr>
          <w:color w:val="000000"/>
          <w:sz w:val="22"/>
          <w:szCs w:val="22"/>
        </w:rPr>
        <w:t>claims under the Real Estate Settlement Procedures Act and the Fair Debt Collection Practices Act</w:t>
      </w:r>
      <w:r>
        <w:rPr>
          <w:color w:val="000000"/>
          <w:sz w:val="22"/>
          <w:szCs w:val="22"/>
        </w:rPr>
        <w:t>.  The</w:t>
      </w:r>
      <w:r w:rsidRPr="00C13AA2">
        <w:rPr>
          <w:color w:val="000000"/>
          <w:sz w:val="22"/>
          <w:szCs w:val="22"/>
        </w:rPr>
        <w:t xml:space="preserve"> federal trial court exp</w:t>
      </w:r>
      <w:r w:rsidR="000225AD">
        <w:rPr>
          <w:color w:val="000000"/>
          <w:sz w:val="22"/>
          <w:szCs w:val="22"/>
        </w:rPr>
        <w:t xml:space="preserve">anded the definition of “borrowers” </w:t>
      </w:r>
      <w:r w:rsidR="009926EA">
        <w:rPr>
          <w:color w:val="000000"/>
          <w:sz w:val="22"/>
          <w:szCs w:val="22"/>
        </w:rPr>
        <w:t>under the Real Estate Settlement Procedures</w:t>
      </w:r>
      <w:r w:rsidR="000225AD">
        <w:rPr>
          <w:color w:val="000000"/>
          <w:sz w:val="22"/>
          <w:szCs w:val="22"/>
        </w:rPr>
        <w:t xml:space="preserve"> Act to include successors in interest.</w:t>
      </w:r>
      <w:r w:rsidRPr="00C13AA2">
        <w:rPr>
          <w:color w:val="000000"/>
          <w:sz w:val="22"/>
          <w:szCs w:val="22"/>
        </w:rPr>
        <w:t xml:space="preserve"> </w:t>
      </w:r>
      <w:r w:rsidR="000225AD">
        <w:rPr>
          <w:color w:val="000000"/>
          <w:sz w:val="22"/>
          <w:szCs w:val="22"/>
        </w:rPr>
        <w:t xml:space="preserve">The court also </w:t>
      </w:r>
      <w:r w:rsidR="005C50B6">
        <w:rPr>
          <w:color w:val="000000"/>
          <w:sz w:val="22"/>
          <w:szCs w:val="22"/>
        </w:rPr>
        <w:t xml:space="preserve">detailed </w:t>
      </w:r>
      <w:r w:rsidR="000225AD">
        <w:rPr>
          <w:color w:val="000000"/>
          <w:sz w:val="22"/>
          <w:szCs w:val="22"/>
        </w:rPr>
        <w:t xml:space="preserve">factual scenarios that show a mortgage servicer’s violation of the “reasonable diligence” standard.  </w:t>
      </w:r>
    </w:p>
    <w:p w14:paraId="6B13D3FB" w14:textId="77777777" w:rsidR="00C74625" w:rsidRDefault="00B95938" w:rsidP="00E362C1">
      <w:pPr>
        <w:shd w:val="clear" w:color="auto" w:fill="FFFFFF"/>
        <w:spacing w:before="120"/>
        <w:rPr>
          <w:color w:val="212121"/>
          <w:sz w:val="22"/>
          <w:szCs w:val="22"/>
        </w:rPr>
      </w:pPr>
      <w:r w:rsidRPr="00C13AA2">
        <w:rPr>
          <w:rStyle w:val="cosearchterm"/>
          <w:b/>
          <w:bCs/>
          <w:i/>
          <w:iCs/>
          <w:color w:val="252525"/>
          <w:sz w:val="22"/>
          <w:szCs w:val="22"/>
        </w:rPr>
        <w:t>Justice</w:t>
      </w:r>
      <w:r w:rsidRPr="00C13AA2">
        <w:rPr>
          <w:rStyle w:val="copinpointicon"/>
          <w:b/>
          <w:i/>
          <w:iCs/>
          <w:color w:val="212121"/>
          <w:sz w:val="22"/>
          <w:szCs w:val="22"/>
        </w:rPr>
        <w:t> </w:t>
      </w:r>
      <w:r w:rsidRPr="00C13AA2">
        <w:rPr>
          <w:rStyle w:val="Emphasis"/>
          <w:b/>
          <w:color w:val="212121"/>
          <w:sz w:val="22"/>
          <w:szCs w:val="22"/>
        </w:rPr>
        <w:t xml:space="preserve">v. </w:t>
      </w:r>
      <w:proofErr w:type="spellStart"/>
      <w:r w:rsidRPr="00C13AA2">
        <w:rPr>
          <w:rStyle w:val="Emphasis"/>
          <w:b/>
          <w:color w:val="212121"/>
          <w:sz w:val="22"/>
          <w:szCs w:val="22"/>
        </w:rPr>
        <w:t>Ocwen</w:t>
      </w:r>
      <w:proofErr w:type="spellEnd"/>
      <w:r w:rsidRPr="00C13AA2">
        <w:rPr>
          <w:rStyle w:val="Emphasis"/>
          <w:b/>
          <w:color w:val="212121"/>
          <w:sz w:val="22"/>
          <w:szCs w:val="22"/>
        </w:rPr>
        <w:t xml:space="preserve"> Servicing,</w:t>
      </w:r>
      <w:r>
        <w:rPr>
          <w:b/>
          <w:color w:val="212121"/>
          <w:sz w:val="22"/>
          <w:szCs w:val="22"/>
        </w:rPr>
        <w:t> LLC, 2:13-cv-</w:t>
      </w:r>
      <w:r w:rsidRPr="00C13AA2">
        <w:rPr>
          <w:b/>
          <w:color w:val="212121"/>
          <w:sz w:val="22"/>
          <w:szCs w:val="22"/>
        </w:rPr>
        <w:t>165</w:t>
      </w:r>
      <w:r>
        <w:rPr>
          <w:b/>
          <w:color w:val="212121"/>
          <w:sz w:val="22"/>
          <w:szCs w:val="22"/>
        </w:rPr>
        <w:t>, 2015 WL 235738</w:t>
      </w:r>
      <w:r w:rsidRPr="00C13AA2">
        <w:rPr>
          <w:b/>
          <w:color w:val="212121"/>
          <w:sz w:val="22"/>
          <w:szCs w:val="22"/>
        </w:rPr>
        <w:t xml:space="preserve"> (</w:t>
      </w:r>
      <w:proofErr w:type="spellStart"/>
      <w:r w:rsidRPr="00C13AA2">
        <w:rPr>
          <w:b/>
          <w:color w:val="212121"/>
          <w:sz w:val="22"/>
          <w:szCs w:val="22"/>
        </w:rPr>
        <w:t>S.D.Ohio</w:t>
      </w:r>
      <w:proofErr w:type="spellEnd"/>
      <w:r>
        <w:rPr>
          <w:b/>
          <w:color w:val="212121"/>
          <w:sz w:val="22"/>
          <w:szCs w:val="22"/>
        </w:rPr>
        <w:t xml:space="preserve"> Jan. 16,</w:t>
      </w:r>
      <w:r w:rsidRPr="00C13AA2">
        <w:rPr>
          <w:b/>
          <w:color w:val="212121"/>
          <w:sz w:val="22"/>
          <w:szCs w:val="22"/>
        </w:rPr>
        <w:t xml:space="preserve"> 2014) </w:t>
      </w:r>
      <w:r>
        <w:rPr>
          <w:color w:val="212121"/>
          <w:sz w:val="22"/>
          <w:szCs w:val="22"/>
        </w:rPr>
        <w:t>– S</w:t>
      </w:r>
      <w:r w:rsidRPr="00C13AA2">
        <w:rPr>
          <w:color w:val="212121"/>
          <w:sz w:val="22"/>
          <w:szCs w:val="22"/>
        </w:rPr>
        <w:t>ummary judgment for c</w:t>
      </w:r>
      <w:r w:rsidR="005C50B6">
        <w:rPr>
          <w:color w:val="212121"/>
          <w:sz w:val="22"/>
          <w:szCs w:val="22"/>
        </w:rPr>
        <w:t>laims under the Fair Debt Collection Practices Act</w:t>
      </w:r>
      <w:r w:rsidR="00E25577">
        <w:rPr>
          <w:color w:val="212121"/>
          <w:sz w:val="22"/>
          <w:szCs w:val="22"/>
        </w:rPr>
        <w:t>, Truth in Lending Act, Real Estate Settlement Procedures Act, and breach of contract</w:t>
      </w:r>
      <w:r w:rsidRPr="00C13AA2">
        <w:rPr>
          <w:color w:val="212121"/>
          <w:sz w:val="22"/>
          <w:szCs w:val="22"/>
        </w:rPr>
        <w:t>.</w:t>
      </w:r>
      <w:r w:rsidR="00C74625">
        <w:rPr>
          <w:color w:val="212121"/>
          <w:sz w:val="22"/>
          <w:szCs w:val="22"/>
        </w:rPr>
        <w:t xml:space="preserve">  The federal trial court correctly found that the owner of the mortgage loan breached a modification</w:t>
      </w:r>
      <w:r w:rsidR="00F55141">
        <w:rPr>
          <w:color w:val="212121"/>
          <w:sz w:val="22"/>
          <w:szCs w:val="22"/>
        </w:rPr>
        <w:t xml:space="preserve"> of the agreement.  The loan servicer</w:t>
      </w:r>
      <w:r w:rsidR="00C74625">
        <w:rPr>
          <w:color w:val="212121"/>
          <w:sz w:val="22"/>
          <w:szCs w:val="22"/>
        </w:rPr>
        <w:t xml:space="preserve"> subsequently violated a number of federal laws by failing to provide the homeowners ac</w:t>
      </w:r>
      <w:r w:rsidR="00F55141">
        <w:rPr>
          <w:color w:val="212121"/>
          <w:sz w:val="22"/>
          <w:szCs w:val="22"/>
        </w:rPr>
        <w:t>cess to important information about</w:t>
      </w:r>
      <w:r w:rsidR="00C74625">
        <w:rPr>
          <w:color w:val="212121"/>
          <w:sz w:val="22"/>
          <w:szCs w:val="22"/>
        </w:rPr>
        <w:t xml:space="preserve"> their loan.</w:t>
      </w:r>
      <w:r w:rsidR="00F55141">
        <w:rPr>
          <w:color w:val="212121"/>
          <w:sz w:val="22"/>
          <w:szCs w:val="22"/>
        </w:rPr>
        <w:t xml:space="preserve"> </w:t>
      </w:r>
      <w:r w:rsidR="00C74625">
        <w:rPr>
          <w:color w:val="212121"/>
          <w:sz w:val="22"/>
          <w:szCs w:val="22"/>
        </w:rPr>
        <w:t xml:space="preserve">  </w:t>
      </w:r>
      <w:r w:rsidRPr="00C13AA2">
        <w:rPr>
          <w:color w:val="212121"/>
          <w:sz w:val="22"/>
          <w:szCs w:val="22"/>
        </w:rPr>
        <w:t xml:space="preserve"> </w:t>
      </w:r>
    </w:p>
    <w:p w14:paraId="72B8455B" w14:textId="77777777" w:rsidR="00B95938" w:rsidRDefault="00B95938" w:rsidP="00E362C1">
      <w:pPr>
        <w:spacing w:before="120"/>
        <w:rPr>
          <w:sz w:val="22"/>
          <w:szCs w:val="22"/>
        </w:rPr>
      </w:pPr>
      <w:r>
        <w:rPr>
          <w:b/>
          <w:i/>
          <w:sz w:val="22"/>
          <w:szCs w:val="22"/>
        </w:rPr>
        <w:t xml:space="preserve">Myles v. Kaman &amp; </w:t>
      </w:r>
      <w:proofErr w:type="spellStart"/>
      <w:r>
        <w:rPr>
          <w:b/>
          <w:i/>
          <w:sz w:val="22"/>
          <w:szCs w:val="22"/>
        </w:rPr>
        <w:t>Cusimano</w:t>
      </w:r>
      <w:proofErr w:type="spellEnd"/>
      <w:r>
        <w:rPr>
          <w:b/>
          <w:i/>
          <w:sz w:val="22"/>
          <w:szCs w:val="22"/>
        </w:rPr>
        <w:t>, LLC</w:t>
      </w:r>
      <w:r>
        <w:rPr>
          <w:b/>
          <w:sz w:val="22"/>
          <w:szCs w:val="22"/>
        </w:rPr>
        <w:t xml:space="preserve">, 2:13-cv-01169, 2014 WL 4377854 (S.D. Sept. 4, 2014) – </w:t>
      </w:r>
      <w:r>
        <w:rPr>
          <w:sz w:val="22"/>
          <w:szCs w:val="22"/>
        </w:rPr>
        <w:t xml:space="preserve">Defeated motion for judgment </w:t>
      </w:r>
      <w:r w:rsidR="005C50B6">
        <w:rPr>
          <w:sz w:val="22"/>
          <w:szCs w:val="22"/>
        </w:rPr>
        <w:t>on the pleadings under the Fair Debt Collection Practices Act</w:t>
      </w:r>
      <w:r>
        <w:rPr>
          <w:sz w:val="22"/>
          <w:szCs w:val="22"/>
        </w:rPr>
        <w:t>.  The federal trial court held a collection law firm’s communi</w:t>
      </w:r>
      <w:r w:rsidR="00162DB7">
        <w:rPr>
          <w:sz w:val="22"/>
          <w:szCs w:val="22"/>
        </w:rPr>
        <w:t>cation to a ho</w:t>
      </w:r>
      <w:r w:rsidR="00F55141">
        <w:rPr>
          <w:sz w:val="22"/>
          <w:szCs w:val="22"/>
        </w:rPr>
        <w:t>meowner</w:t>
      </w:r>
      <w:r w:rsidR="00162DB7">
        <w:rPr>
          <w:sz w:val="22"/>
          <w:szCs w:val="22"/>
        </w:rPr>
        <w:t xml:space="preserve"> stating</w:t>
      </w:r>
      <w:r>
        <w:rPr>
          <w:sz w:val="22"/>
          <w:szCs w:val="22"/>
        </w:rPr>
        <w:t xml:space="preserve"> that her right to redeem</w:t>
      </w:r>
      <w:r w:rsidR="00162DB7">
        <w:rPr>
          <w:sz w:val="22"/>
          <w:szCs w:val="22"/>
        </w:rPr>
        <w:t xml:space="preserve"> her</w:t>
      </w:r>
      <w:r w:rsidR="00F55141">
        <w:rPr>
          <w:sz w:val="22"/>
          <w:szCs w:val="22"/>
        </w:rPr>
        <w:t xml:space="preserve"> property</w:t>
      </w:r>
      <w:r>
        <w:rPr>
          <w:sz w:val="22"/>
          <w:szCs w:val="22"/>
        </w:rPr>
        <w:t xml:space="preserve"> prior to confirmation of a foreclosure sale had expired is a false, deceptive and misleading statement under the FDCPA.  </w:t>
      </w:r>
    </w:p>
    <w:p w14:paraId="2249B9F5" w14:textId="77777777" w:rsidR="00B95938" w:rsidRDefault="00B95938" w:rsidP="00E362C1">
      <w:pPr>
        <w:spacing w:before="120"/>
        <w:rPr>
          <w:sz w:val="22"/>
          <w:szCs w:val="22"/>
        </w:rPr>
      </w:pPr>
      <w:r w:rsidRPr="008243B1">
        <w:rPr>
          <w:b/>
          <w:i/>
          <w:sz w:val="22"/>
          <w:szCs w:val="22"/>
        </w:rPr>
        <w:t xml:space="preserve">Father’s House </w:t>
      </w:r>
      <w:proofErr w:type="spellStart"/>
      <w:r w:rsidRPr="008243B1">
        <w:rPr>
          <w:b/>
          <w:i/>
          <w:sz w:val="22"/>
          <w:szCs w:val="22"/>
        </w:rPr>
        <w:t>Internalt</w:t>
      </w:r>
      <w:proofErr w:type="spellEnd"/>
      <w:r w:rsidRPr="008243B1">
        <w:rPr>
          <w:b/>
          <w:i/>
          <w:sz w:val="22"/>
          <w:szCs w:val="22"/>
        </w:rPr>
        <w:t xml:space="preserve">., Inv. v. </w:t>
      </w:r>
      <w:proofErr w:type="spellStart"/>
      <w:r w:rsidRPr="008243B1">
        <w:rPr>
          <w:b/>
          <w:i/>
          <w:sz w:val="22"/>
          <w:szCs w:val="22"/>
        </w:rPr>
        <w:t>Kurguz</w:t>
      </w:r>
      <w:proofErr w:type="spellEnd"/>
      <w:r w:rsidRPr="008243B1">
        <w:rPr>
          <w:b/>
          <w:sz w:val="22"/>
          <w:szCs w:val="22"/>
        </w:rPr>
        <w:t>, Fra</w:t>
      </w:r>
      <w:r w:rsidR="00966BB2">
        <w:rPr>
          <w:b/>
          <w:sz w:val="22"/>
          <w:szCs w:val="22"/>
        </w:rPr>
        <w:t>nklin C. P.</w:t>
      </w:r>
      <w:r>
        <w:rPr>
          <w:b/>
          <w:sz w:val="22"/>
          <w:szCs w:val="22"/>
        </w:rPr>
        <w:t xml:space="preserve"> Case No. 13-CV-008622 (Oct. 23, 2015) </w:t>
      </w:r>
      <w:r>
        <w:rPr>
          <w:sz w:val="22"/>
          <w:szCs w:val="22"/>
        </w:rPr>
        <w:t>–</w:t>
      </w:r>
      <w:r>
        <w:rPr>
          <w:i/>
          <w:sz w:val="22"/>
          <w:szCs w:val="22"/>
        </w:rPr>
        <w:t xml:space="preserve"> </w:t>
      </w:r>
      <w:r w:rsidR="001209CC">
        <w:rPr>
          <w:sz w:val="22"/>
          <w:szCs w:val="22"/>
        </w:rPr>
        <w:t xml:space="preserve">Jury trial representing </w:t>
      </w:r>
      <w:r w:rsidR="000225AD">
        <w:rPr>
          <w:sz w:val="22"/>
          <w:szCs w:val="22"/>
        </w:rPr>
        <w:t xml:space="preserve">a church against </w:t>
      </w:r>
      <w:r w:rsidR="00162DB7">
        <w:rPr>
          <w:sz w:val="22"/>
          <w:szCs w:val="22"/>
        </w:rPr>
        <w:t xml:space="preserve">a </w:t>
      </w:r>
      <w:r w:rsidR="000225AD">
        <w:rPr>
          <w:sz w:val="22"/>
          <w:szCs w:val="22"/>
        </w:rPr>
        <w:t xml:space="preserve">seller for breach of a commercial land installment contract.  </w:t>
      </w:r>
      <w:r w:rsidR="001209CC">
        <w:rPr>
          <w:sz w:val="22"/>
          <w:szCs w:val="22"/>
        </w:rPr>
        <w:t>V</w:t>
      </w:r>
      <w:r>
        <w:rPr>
          <w:sz w:val="22"/>
          <w:szCs w:val="22"/>
        </w:rPr>
        <w:t>erdict in the amount of $62,000.</w:t>
      </w:r>
    </w:p>
    <w:p w14:paraId="016FB643" w14:textId="77777777" w:rsidR="00B95938" w:rsidRPr="008243B1" w:rsidRDefault="00B95938" w:rsidP="00E362C1">
      <w:pPr>
        <w:spacing w:before="120"/>
        <w:rPr>
          <w:sz w:val="22"/>
          <w:szCs w:val="22"/>
        </w:rPr>
      </w:pPr>
      <w:proofErr w:type="spellStart"/>
      <w:r w:rsidRPr="008243B1">
        <w:rPr>
          <w:b/>
          <w:i/>
          <w:sz w:val="22"/>
          <w:szCs w:val="22"/>
        </w:rPr>
        <w:t>Jarupan</w:t>
      </w:r>
      <w:proofErr w:type="spellEnd"/>
      <w:r w:rsidRPr="008243B1">
        <w:rPr>
          <w:b/>
          <w:i/>
          <w:sz w:val="22"/>
          <w:szCs w:val="22"/>
        </w:rPr>
        <w:t xml:space="preserve"> v. Williams, </w:t>
      </w:r>
      <w:r w:rsidRPr="008243B1">
        <w:rPr>
          <w:b/>
          <w:sz w:val="22"/>
          <w:szCs w:val="22"/>
        </w:rPr>
        <w:t xml:space="preserve">Franklin </w:t>
      </w:r>
      <w:r w:rsidR="00966BB2">
        <w:rPr>
          <w:b/>
          <w:sz w:val="22"/>
          <w:szCs w:val="22"/>
        </w:rPr>
        <w:t>C. P.</w:t>
      </w:r>
      <w:r w:rsidRPr="008243B1">
        <w:rPr>
          <w:b/>
          <w:sz w:val="22"/>
          <w:szCs w:val="22"/>
        </w:rPr>
        <w:t xml:space="preserve"> No. 14-CV-005321</w:t>
      </w:r>
      <w:r>
        <w:rPr>
          <w:b/>
          <w:sz w:val="22"/>
          <w:szCs w:val="22"/>
        </w:rPr>
        <w:t xml:space="preserve"> (Jan. 19, 2016)</w:t>
      </w:r>
      <w:r>
        <w:rPr>
          <w:sz w:val="22"/>
          <w:szCs w:val="22"/>
        </w:rPr>
        <w:t xml:space="preserve"> –</w:t>
      </w:r>
      <w:r>
        <w:rPr>
          <w:i/>
          <w:sz w:val="22"/>
          <w:szCs w:val="22"/>
        </w:rPr>
        <w:t xml:space="preserve"> </w:t>
      </w:r>
      <w:r w:rsidR="000225AD">
        <w:rPr>
          <w:sz w:val="22"/>
          <w:szCs w:val="22"/>
        </w:rPr>
        <w:t xml:space="preserve">Jury trial representing the plaintiff against </w:t>
      </w:r>
      <w:r w:rsidR="00162DB7">
        <w:rPr>
          <w:sz w:val="22"/>
          <w:szCs w:val="22"/>
        </w:rPr>
        <w:t xml:space="preserve">a </w:t>
      </w:r>
      <w:r w:rsidR="000225AD">
        <w:rPr>
          <w:sz w:val="22"/>
          <w:szCs w:val="22"/>
        </w:rPr>
        <w:t>contractor for breach of a remodeling contract and related claims under Ohio’s Uniform Fraudulent Transfer Act.  V</w:t>
      </w:r>
      <w:r>
        <w:rPr>
          <w:sz w:val="22"/>
          <w:szCs w:val="22"/>
        </w:rPr>
        <w:t xml:space="preserve">erdict in the amount of $93,860 plus attorney fees.  </w:t>
      </w:r>
    </w:p>
    <w:p w14:paraId="35AFDC0B" w14:textId="77777777" w:rsidR="00887586" w:rsidRDefault="00887586" w:rsidP="000766D0">
      <w:pPr>
        <w:rPr>
          <w:sz w:val="22"/>
          <w:szCs w:val="22"/>
        </w:rPr>
      </w:pPr>
    </w:p>
    <w:p w14:paraId="36995236" w14:textId="77777777" w:rsidR="00887586" w:rsidRPr="003E5796" w:rsidRDefault="00887586" w:rsidP="00887586">
      <w:pPr>
        <w:pBdr>
          <w:bottom w:val="single" w:sz="4" w:space="1" w:color="auto"/>
        </w:pBdr>
        <w:rPr>
          <w:b/>
          <w:sz w:val="22"/>
          <w:szCs w:val="22"/>
        </w:rPr>
      </w:pPr>
      <w:r>
        <w:rPr>
          <w:b/>
          <w:sz w:val="22"/>
          <w:szCs w:val="22"/>
        </w:rPr>
        <w:t>Speaking Engagements</w:t>
      </w:r>
      <w:r w:rsidR="005F0B05">
        <w:rPr>
          <w:b/>
          <w:sz w:val="22"/>
          <w:szCs w:val="22"/>
        </w:rPr>
        <w:t xml:space="preserve"> &amp; Publications </w:t>
      </w:r>
    </w:p>
    <w:p w14:paraId="32F3BA1C" w14:textId="77777777" w:rsidR="00887586" w:rsidRDefault="00887586" w:rsidP="000766D0">
      <w:pPr>
        <w:rPr>
          <w:sz w:val="22"/>
          <w:szCs w:val="22"/>
        </w:rPr>
      </w:pPr>
    </w:p>
    <w:p w14:paraId="4B378B81" w14:textId="77777777" w:rsidR="00887586" w:rsidRDefault="00887586" w:rsidP="00492591">
      <w:pPr>
        <w:rPr>
          <w:sz w:val="22"/>
          <w:szCs w:val="22"/>
        </w:rPr>
      </w:pPr>
      <w:r>
        <w:rPr>
          <w:sz w:val="22"/>
          <w:szCs w:val="22"/>
        </w:rPr>
        <w:t xml:space="preserve">Foreclosure A to Z, a CLE for Judges and Staff Attorneys, Columbus, Ohio – December 2019 </w:t>
      </w:r>
    </w:p>
    <w:p w14:paraId="2CEFAAB5" w14:textId="77777777" w:rsidR="005F0B05" w:rsidRDefault="005F0B05" w:rsidP="00492591">
      <w:pPr>
        <w:rPr>
          <w:sz w:val="22"/>
          <w:szCs w:val="22"/>
        </w:rPr>
      </w:pPr>
      <w:r>
        <w:rPr>
          <w:sz w:val="22"/>
          <w:szCs w:val="22"/>
        </w:rPr>
        <w:t>Top 10 Foreclosure Mistakes Experienced Mortgage Servicer’s Make, NBI, Webcast – August 2020</w:t>
      </w:r>
    </w:p>
    <w:p w14:paraId="0174A93D" w14:textId="77777777" w:rsidR="005F0B05" w:rsidRPr="005F0B05" w:rsidRDefault="005F0B05" w:rsidP="00492591">
      <w:pPr>
        <w:rPr>
          <w:sz w:val="22"/>
          <w:szCs w:val="22"/>
        </w:rPr>
      </w:pPr>
      <w:r>
        <w:rPr>
          <w:sz w:val="22"/>
          <w:szCs w:val="22"/>
        </w:rPr>
        <w:t xml:space="preserve">Doucet, Troy &amp; Gerling, Andrew (2021), </w:t>
      </w:r>
      <w:r w:rsidRPr="005F0B05">
        <w:rPr>
          <w:i/>
          <w:sz w:val="22"/>
          <w:szCs w:val="22"/>
        </w:rPr>
        <w:t>27 Legal Defenses to Foreclosure</w:t>
      </w:r>
      <w:r>
        <w:rPr>
          <w:i/>
          <w:sz w:val="22"/>
          <w:szCs w:val="22"/>
        </w:rPr>
        <w:t xml:space="preserve">, </w:t>
      </w:r>
      <w:r>
        <w:rPr>
          <w:sz w:val="22"/>
          <w:szCs w:val="22"/>
        </w:rPr>
        <w:t>2</w:t>
      </w:r>
      <w:r w:rsidRPr="005F0B05">
        <w:rPr>
          <w:sz w:val="22"/>
          <w:szCs w:val="22"/>
          <w:vertAlign w:val="superscript"/>
        </w:rPr>
        <w:t>nd</w:t>
      </w:r>
      <w:r>
        <w:rPr>
          <w:sz w:val="22"/>
          <w:szCs w:val="22"/>
        </w:rPr>
        <w:t xml:space="preserve"> Edition</w:t>
      </w:r>
    </w:p>
    <w:p w14:paraId="738D4793" w14:textId="77777777" w:rsidR="00887586" w:rsidRPr="003E5796" w:rsidRDefault="00887586" w:rsidP="000766D0">
      <w:pPr>
        <w:rPr>
          <w:sz w:val="22"/>
          <w:szCs w:val="22"/>
        </w:rPr>
      </w:pPr>
    </w:p>
    <w:p w14:paraId="0DFFB802" w14:textId="77777777" w:rsidR="00F237F4" w:rsidRPr="003E5796" w:rsidRDefault="005C3E7C" w:rsidP="0005012D">
      <w:pPr>
        <w:pBdr>
          <w:bottom w:val="single" w:sz="4" w:space="1" w:color="auto"/>
        </w:pBdr>
        <w:rPr>
          <w:b/>
          <w:sz w:val="22"/>
          <w:szCs w:val="22"/>
        </w:rPr>
      </w:pPr>
      <w:r>
        <w:rPr>
          <w:b/>
          <w:sz w:val="22"/>
          <w:szCs w:val="22"/>
        </w:rPr>
        <w:t xml:space="preserve">Other Relevant </w:t>
      </w:r>
      <w:r w:rsidR="007F00C7" w:rsidRPr="003E5796">
        <w:rPr>
          <w:b/>
          <w:sz w:val="22"/>
          <w:szCs w:val="22"/>
        </w:rPr>
        <w:t>Experience</w:t>
      </w:r>
    </w:p>
    <w:p w14:paraId="2642EF6F" w14:textId="77777777" w:rsidR="000766D0" w:rsidRPr="005F1D07" w:rsidRDefault="000766D0" w:rsidP="005C3E7C">
      <w:pPr>
        <w:rPr>
          <w:sz w:val="22"/>
          <w:szCs w:val="22"/>
        </w:rPr>
      </w:pPr>
    </w:p>
    <w:p w14:paraId="70E82C78" w14:textId="77777777" w:rsidR="00E85E1A" w:rsidRPr="003E5796" w:rsidRDefault="00E85E1A" w:rsidP="000766D0">
      <w:pPr>
        <w:rPr>
          <w:b/>
          <w:sz w:val="22"/>
          <w:szCs w:val="22"/>
        </w:rPr>
      </w:pPr>
      <w:r w:rsidRPr="003E5796">
        <w:rPr>
          <w:b/>
          <w:sz w:val="22"/>
          <w:szCs w:val="22"/>
        </w:rPr>
        <w:t>United States District Court, Southern District of Ohio</w:t>
      </w:r>
    </w:p>
    <w:p w14:paraId="15FEEBCF" w14:textId="77777777" w:rsidR="00E85E1A" w:rsidRPr="005C3E7C" w:rsidRDefault="00576BB6" w:rsidP="005C3E7C">
      <w:pPr>
        <w:rPr>
          <w:sz w:val="22"/>
          <w:szCs w:val="22"/>
        </w:rPr>
      </w:pPr>
      <w:r w:rsidRPr="003E5796">
        <w:rPr>
          <w:i/>
          <w:sz w:val="22"/>
          <w:szCs w:val="22"/>
        </w:rPr>
        <w:t>Extern to</w:t>
      </w:r>
      <w:r w:rsidR="00E85E1A" w:rsidRPr="003E5796">
        <w:rPr>
          <w:i/>
          <w:sz w:val="22"/>
          <w:szCs w:val="22"/>
        </w:rPr>
        <w:t xml:space="preserve"> the Honorable Michael H. Watson</w:t>
      </w:r>
    </w:p>
    <w:p w14:paraId="6FA9338C" w14:textId="77777777" w:rsidR="00F237F4" w:rsidRPr="003E5796" w:rsidRDefault="00F237F4" w:rsidP="00F237F4">
      <w:pPr>
        <w:rPr>
          <w:sz w:val="22"/>
          <w:szCs w:val="22"/>
          <w:u w:val="single"/>
        </w:rPr>
      </w:pPr>
    </w:p>
    <w:p w14:paraId="492B6969" w14:textId="77777777" w:rsidR="007F00C7" w:rsidRPr="003E5796" w:rsidRDefault="00AE6F02" w:rsidP="007F00C7">
      <w:pPr>
        <w:rPr>
          <w:sz w:val="22"/>
          <w:szCs w:val="22"/>
        </w:rPr>
      </w:pPr>
      <w:r w:rsidRPr="003E5796">
        <w:rPr>
          <w:b/>
          <w:sz w:val="22"/>
          <w:szCs w:val="22"/>
        </w:rPr>
        <w:t>Lane, Alton &amp; Horst, LLC</w:t>
      </w:r>
      <w:r w:rsidR="007F00C7" w:rsidRPr="003E5796">
        <w:rPr>
          <w:b/>
          <w:sz w:val="22"/>
          <w:szCs w:val="22"/>
        </w:rPr>
        <w:t xml:space="preserve">, </w:t>
      </w:r>
      <w:r w:rsidR="007F00C7" w:rsidRPr="003E5796">
        <w:rPr>
          <w:sz w:val="22"/>
          <w:szCs w:val="22"/>
        </w:rPr>
        <w:t>Columbus, Ohio</w:t>
      </w:r>
    </w:p>
    <w:p w14:paraId="2177BC2F" w14:textId="77777777" w:rsidR="004F7CC9" w:rsidRPr="003E5796" w:rsidRDefault="007F00C7" w:rsidP="005F1D07">
      <w:pPr>
        <w:rPr>
          <w:sz w:val="22"/>
          <w:szCs w:val="22"/>
        </w:rPr>
      </w:pPr>
      <w:r w:rsidRPr="003E5796">
        <w:rPr>
          <w:i/>
          <w:sz w:val="22"/>
          <w:szCs w:val="22"/>
        </w:rPr>
        <w:t>Paralegal</w:t>
      </w:r>
      <w:r w:rsidR="004F078D" w:rsidRPr="003E5796">
        <w:rPr>
          <w:sz w:val="22"/>
          <w:szCs w:val="22"/>
        </w:rPr>
        <w:t>, January 2003</w:t>
      </w:r>
      <w:r w:rsidRPr="003E5796">
        <w:rPr>
          <w:sz w:val="22"/>
          <w:szCs w:val="22"/>
        </w:rPr>
        <w:t xml:space="preserve"> </w:t>
      </w:r>
      <w:r w:rsidR="00904ED2" w:rsidRPr="003E5796">
        <w:rPr>
          <w:sz w:val="22"/>
          <w:szCs w:val="22"/>
        </w:rPr>
        <w:t>–</w:t>
      </w:r>
      <w:r w:rsidR="003E5796" w:rsidRPr="003E5796">
        <w:rPr>
          <w:sz w:val="22"/>
          <w:szCs w:val="22"/>
        </w:rPr>
        <w:t xml:space="preserve"> May 2011</w:t>
      </w:r>
    </w:p>
    <w:p w14:paraId="097B2527" w14:textId="77777777" w:rsidR="005C3E7C" w:rsidRDefault="005C3E7C" w:rsidP="005C3E7C">
      <w:pPr>
        <w:rPr>
          <w:sz w:val="22"/>
          <w:szCs w:val="22"/>
        </w:rPr>
      </w:pPr>
    </w:p>
    <w:p w14:paraId="544D06FC" w14:textId="77777777" w:rsidR="005C3E7C" w:rsidRPr="003E5796" w:rsidRDefault="005C3E7C" w:rsidP="005C3E7C">
      <w:pPr>
        <w:pBdr>
          <w:bottom w:val="single" w:sz="4" w:space="1" w:color="auto"/>
        </w:pBdr>
        <w:rPr>
          <w:b/>
          <w:sz w:val="22"/>
          <w:szCs w:val="22"/>
        </w:rPr>
      </w:pPr>
      <w:r>
        <w:rPr>
          <w:b/>
          <w:sz w:val="22"/>
          <w:szCs w:val="22"/>
        </w:rPr>
        <w:t xml:space="preserve">Volunteer Work </w:t>
      </w:r>
    </w:p>
    <w:p w14:paraId="2A11C5C5" w14:textId="77777777" w:rsidR="00902B47" w:rsidRDefault="005C3E7C" w:rsidP="005C3E7C">
      <w:pPr>
        <w:spacing w:before="120"/>
        <w:rPr>
          <w:sz w:val="22"/>
          <w:szCs w:val="22"/>
        </w:rPr>
      </w:pPr>
      <w:r w:rsidRPr="00902B47">
        <w:rPr>
          <w:sz w:val="22"/>
          <w:szCs w:val="22"/>
        </w:rPr>
        <w:t>Legal Aid Society of Columbus</w:t>
      </w:r>
      <w:r>
        <w:rPr>
          <w:b/>
          <w:sz w:val="22"/>
          <w:szCs w:val="22"/>
        </w:rPr>
        <w:t xml:space="preserve">, </w:t>
      </w:r>
      <w:r>
        <w:rPr>
          <w:sz w:val="22"/>
          <w:szCs w:val="22"/>
        </w:rPr>
        <w:t>Consumer Debt Project</w:t>
      </w:r>
    </w:p>
    <w:p w14:paraId="06DCD057" w14:textId="77777777" w:rsidR="00902B47" w:rsidRDefault="00902B47" w:rsidP="00902B47">
      <w:pPr>
        <w:rPr>
          <w:sz w:val="22"/>
          <w:szCs w:val="22"/>
        </w:rPr>
      </w:pPr>
      <w:r>
        <w:rPr>
          <w:sz w:val="22"/>
          <w:szCs w:val="22"/>
        </w:rPr>
        <w:t>Legal Aid Society of Col</w:t>
      </w:r>
      <w:r w:rsidR="000225AD">
        <w:rPr>
          <w:sz w:val="22"/>
          <w:szCs w:val="22"/>
        </w:rPr>
        <w:t>umbus, Wills</w:t>
      </w:r>
      <w:r>
        <w:rPr>
          <w:sz w:val="22"/>
          <w:szCs w:val="22"/>
        </w:rPr>
        <w:t xml:space="preserve"> Clinic</w:t>
      </w:r>
    </w:p>
    <w:p w14:paraId="60314ECE" w14:textId="77777777" w:rsidR="00902B47" w:rsidRPr="00902B47" w:rsidRDefault="00902B47" w:rsidP="00902B47">
      <w:pPr>
        <w:rPr>
          <w:sz w:val="22"/>
          <w:szCs w:val="22"/>
        </w:rPr>
      </w:pPr>
      <w:r w:rsidRPr="00902B47">
        <w:rPr>
          <w:sz w:val="22"/>
          <w:szCs w:val="22"/>
        </w:rPr>
        <w:t xml:space="preserve">ABC 6 Ask the Attorney </w:t>
      </w:r>
    </w:p>
    <w:p w14:paraId="5EA90D53" w14:textId="77777777" w:rsidR="005C3E7C" w:rsidRDefault="005C3E7C" w:rsidP="005C3E7C">
      <w:pPr>
        <w:rPr>
          <w:sz w:val="22"/>
          <w:szCs w:val="22"/>
        </w:rPr>
      </w:pPr>
    </w:p>
    <w:p w14:paraId="167116DA" w14:textId="77777777" w:rsidR="0005012D" w:rsidRPr="003E5796" w:rsidRDefault="0005012D" w:rsidP="0005012D">
      <w:pPr>
        <w:pBdr>
          <w:bottom w:val="single" w:sz="4" w:space="1" w:color="auto"/>
        </w:pBdr>
        <w:rPr>
          <w:b/>
          <w:sz w:val="22"/>
          <w:szCs w:val="22"/>
        </w:rPr>
      </w:pPr>
      <w:r>
        <w:rPr>
          <w:b/>
          <w:sz w:val="22"/>
          <w:szCs w:val="22"/>
        </w:rPr>
        <w:t xml:space="preserve">Professional Associations </w:t>
      </w:r>
    </w:p>
    <w:p w14:paraId="0B8659AD" w14:textId="77777777" w:rsidR="00492591" w:rsidRDefault="0005012D" w:rsidP="00850593">
      <w:pPr>
        <w:spacing w:before="120"/>
        <w:rPr>
          <w:sz w:val="22"/>
          <w:szCs w:val="22"/>
        </w:rPr>
      </w:pPr>
      <w:r>
        <w:rPr>
          <w:sz w:val="22"/>
          <w:szCs w:val="22"/>
        </w:rPr>
        <w:t xml:space="preserve">Central Ohio Association for Justice </w:t>
      </w:r>
    </w:p>
    <w:p w14:paraId="3C2B0954" w14:textId="77777777" w:rsidR="00C13AA2" w:rsidRDefault="00C13AA2" w:rsidP="00B95938">
      <w:pPr>
        <w:rPr>
          <w:sz w:val="22"/>
          <w:szCs w:val="22"/>
        </w:rPr>
      </w:pPr>
      <w:r>
        <w:rPr>
          <w:sz w:val="22"/>
          <w:szCs w:val="22"/>
        </w:rPr>
        <w:t>F</w:t>
      </w:r>
      <w:r w:rsidR="00B95938">
        <w:rPr>
          <w:sz w:val="22"/>
          <w:szCs w:val="22"/>
        </w:rPr>
        <w:t>ranklin County Democratic Lawyers Club</w:t>
      </w:r>
    </w:p>
    <w:p w14:paraId="5A11C04B" w14:textId="77777777" w:rsidR="001209CC" w:rsidRDefault="001209CC" w:rsidP="00B95938">
      <w:pPr>
        <w:rPr>
          <w:sz w:val="22"/>
          <w:szCs w:val="22"/>
        </w:rPr>
      </w:pPr>
      <w:r>
        <w:rPr>
          <w:sz w:val="22"/>
          <w:szCs w:val="22"/>
        </w:rPr>
        <w:t>Dublin Chamber of Commerce</w:t>
      </w:r>
    </w:p>
    <w:p w14:paraId="760AE2D9" w14:textId="77777777" w:rsidR="00492591" w:rsidRDefault="00492591" w:rsidP="00B95938">
      <w:pPr>
        <w:rPr>
          <w:sz w:val="22"/>
          <w:szCs w:val="22"/>
        </w:rPr>
      </w:pPr>
      <w:r>
        <w:rPr>
          <w:sz w:val="22"/>
          <w:szCs w:val="22"/>
        </w:rPr>
        <w:t xml:space="preserve">Ohio Association for Justice </w:t>
      </w:r>
    </w:p>
    <w:p w14:paraId="1AAD845D" w14:textId="77777777" w:rsidR="00492591" w:rsidRPr="0005012D" w:rsidRDefault="00492591" w:rsidP="00B95938">
      <w:pPr>
        <w:rPr>
          <w:sz w:val="22"/>
          <w:szCs w:val="22"/>
        </w:rPr>
      </w:pPr>
    </w:p>
    <w:sectPr w:rsidR="00492591" w:rsidRPr="0005012D" w:rsidSect="003529B2">
      <w:footerReference w:type="default" r:id="rId8"/>
      <w:pgSz w:w="12240" w:h="15840" w:code="1"/>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97E1" w14:textId="77777777" w:rsidR="00AE054A" w:rsidRPr="004444B8" w:rsidRDefault="00AE054A">
      <w:pPr>
        <w:rPr>
          <w:sz w:val="21"/>
          <w:szCs w:val="21"/>
        </w:rPr>
      </w:pPr>
      <w:r w:rsidRPr="004444B8">
        <w:rPr>
          <w:sz w:val="21"/>
          <w:szCs w:val="21"/>
        </w:rPr>
        <w:separator/>
      </w:r>
    </w:p>
  </w:endnote>
  <w:endnote w:type="continuationSeparator" w:id="0">
    <w:p w14:paraId="6B902387" w14:textId="77777777" w:rsidR="00AE054A" w:rsidRPr="004444B8" w:rsidRDefault="00AE054A">
      <w:pPr>
        <w:rPr>
          <w:sz w:val="21"/>
          <w:szCs w:val="21"/>
        </w:rPr>
      </w:pPr>
      <w:r w:rsidRPr="004444B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BB5" w14:textId="77777777" w:rsidR="0005012D" w:rsidRPr="004444B8" w:rsidRDefault="0005012D" w:rsidP="00C37A0A">
    <w:pPr>
      <w:pStyle w:val="Footer"/>
      <w:jc w:val="center"/>
      <w:rPr>
        <w:b/>
        <w: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407B" w14:textId="77777777" w:rsidR="00AE054A" w:rsidRPr="004444B8" w:rsidRDefault="00AE054A">
      <w:pPr>
        <w:rPr>
          <w:sz w:val="21"/>
          <w:szCs w:val="21"/>
        </w:rPr>
      </w:pPr>
      <w:r w:rsidRPr="004444B8">
        <w:rPr>
          <w:sz w:val="21"/>
          <w:szCs w:val="21"/>
        </w:rPr>
        <w:separator/>
      </w:r>
    </w:p>
  </w:footnote>
  <w:footnote w:type="continuationSeparator" w:id="0">
    <w:p w14:paraId="4A6F78E2" w14:textId="77777777" w:rsidR="00AE054A" w:rsidRPr="004444B8" w:rsidRDefault="00AE054A">
      <w:pPr>
        <w:rPr>
          <w:sz w:val="21"/>
          <w:szCs w:val="21"/>
        </w:rPr>
      </w:pPr>
      <w:r w:rsidRPr="004444B8">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44EE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01D9C"/>
    <w:multiLevelType w:val="hybridMultilevel"/>
    <w:tmpl w:val="6584FB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3167E5"/>
    <w:multiLevelType w:val="hybridMultilevel"/>
    <w:tmpl w:val="5DDEA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3DB"/>
    <w:multiLevelType w:val="hybridMultilevel"/>
    <w:tmpl w:val="0E50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F254A"/>
    <w:multiLevelType w:val="hybridMultilevel"/>
    <w:tmpl w:val="835276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12210B"/>
    <w:multiLevelType w:val="hybridMultilevel"/>
    <w:tmpl w:val="B35A1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57B61D3"/>
    <w:multiLevelType w:val="hybridMultilevel"/>
    <w:tmpl w:val="4B0C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7D5D4D"/>
    <w:multiLevelType w:val="hybridMultilevel"/>
    <w:tmpl w:val="AD7E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F3955"/>
    <w:multiLevelType w:val="hybridMultilevel"/>
    <w:tmpl w:val="0A6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80A39"/>
    <w:multiLevelType w:val="hybridMultilevel"/>
    <w:tmpl w:val="9FE21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135FB"/>
    <w:multiLevelType w:val="hybridMultilevel"/>
    <w:tmpl w:val="5DEC8C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8528FD"/>
    <w:multiLevelType w:val="hybridMultilevel"/>
    <w:tmpl w:val="3FB20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B72D4"/>
    <w:multiLevelType w:val="hybridMultilevel"/>
    <w:tmpl w:val="0AD4B5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5228094">
    <w:abstractNumId w:val="9"/>
  </w:num>
  <w:num w:numId="2" w16cid:durableId="1829899030">
    <w:abstractNumId w:val="6"/>
  </w:num>
  <w:num w:numId="3" w16cid:durableId="70205207">
    <w:abstractNumId w:val="1"/>
  </w:num>
  <w:num w:numId="4" w16cid:durableId="330372125">
    <w:abstractNumId w:val="12"/>
  </w:num>
  <w:num w:numId="5" w16cid:durableId="1362366675">
    <w:abstractNumId w:val="10"/>
  </w:num>
  <w:num w:numId="6" w16cid:durableId="807237727">
    <w:abstractNumId w:val="4"/>
  </w:num>
  <w:num w:numId="7" w16cid:durableId="345714294">
    <w:abstractNumId w:val="2"/>
  </w:num>
  <w:num w:numId="8" w16cid:durableId="513571547">
    <w:abstractNumId w:val="5"/>
  </w:num>
  <w:num w:numId="9" w16cid:durableId="1830248116">
    <w:abstractNumId w:val="7"/>
  </w:num>
  <w:num w:numId="10" w16cid:durableId="1680156730">
    <w:abstractNumId w:val="3"/>
  </w:num>
  <w:num w:numId="11" w16cid:durableId="1944848101">
    <w:abstractNumId w:val="8"/>
  </w:num>
  <w:num w:numId="12" w16cid:durableId="978068703">
    <w:abstractNumId w:val="11"/>
  </w:num>
  <w:num w:numId="13" w16cid:durableId="87866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40"/>
    <w:rsid w:val="0001428B"/>
    <w:rsid w:val="0002037E"/>
    <w:rsid w:val="00020EE5"/>
    <w:rsid w:val="000225AD"/>
    <w:rsid w:val="00034CE5"/>
    <w:rsid w:val="0005012D"/>
    <w:rsid w:val="00053D71"/>
    <w:rsid w:val="0006112A"/>
    <w:rsid w:val="000766D0"/>
    <w:rsid w:val="00091683"/>
    <w:rsid w:val="000A0C93"/>
    <w:rsid w:val="00100823"/>
    <w:rsid w:val="001209CC"/>
    <w:rsid w:val="00162DB7"/>
    <w:rsid w:val="00177B12"/>
    <w:rsid w:val="001A493C"/>
    <w:rsid w:val="001B5C6D"/>
    <w:rsid w:val="001B7C42"/>
    <w:rsid w:val="002170F9"/>
    <w:rsid w:val="00261026"/>
    <w:rsid w:val="00277185"/>
    <w:rsid w:val="002A1CB8"/>
    <w:rsid w:val="002B1EA5"/>
    <w:rsid w:val="002C4729"/>
    <w:rsid w:val="002F0B1E"/>
    <w:rsid w:val="00321817"/>
    <w:rsid w:val="003529B2"/>
    <w:rsid w:val="003611FA"/>
    <w:rsid w:val="00363EED"/>
    <w:rsid w:val="003776C0"/>
    <w:rsid w:val="003831E7"/>
    <w:rsid w:val="003B49D5"/>
    <w:rsid w:val="003B66B2"/>
    <w:rsid w:val="003C276B"/>
    <w:rsid w:val="003C61F1"/>
    <w:rsid w:val="003C702C"/>
    <w:rsid w:val="003D7609"/>
    <w:rsid w:val="003E5796"/>
    <w:rsid w:val="00416D83"/>
    <w:rsid w:val="00417946"/>
    <w:rsid w:val="004444B8"/>
    <w:rsid w:val="00463199"/>
    <w:rsid w:val="00466F54"/>
    <w:rsid w:val="00486BDE"/>
    <w:rsid w:val="00492591"/>
    <w:rsid w:val="004B49A2"/>
    <w:rsid w:val="004E6F5A"/>
    <w:rsid w:val="004F078D"/>
    <w:rsid w:val="004F45C4"/>
    <w:rsid w:val="004F7CC9"/>
    <w:rsid w:val="00500BE3"/>
    <w:rsid w:val="00534432"/>
    <w:rsid w:val="0053705C"/>
    <w:rsid w:val="00576BB6"/>
    <w:rsid w:val="005963F8"/>
    <w:rsid w:val="005978F6"/>
    <w:rsid w:val="005A3FCD"/>
    <w:rsid w:val="005B1F24"/>
    <w:rsid w:val="005C3E7C"/>
    <w:rsid w:val="005C50B6"/>
    <w:rsid w:val="005E1F0A"/>
    <w:rsid w:val="005F0B05"/>
    <w:rsid w:val="005F1D07"/>
    <w:rsid w:val="00613536"/>
    <w:rsid w:val="00617445"/>
    <w:rsid w:val="006220F6"/>
    <w:rsid w:val="00640435"/>
    <w:rsid w:val="0064480D"/>
    <w:rsid w:val="00645C67"/>
    <w:rsid w:val="006508A4"/>
    <w:rsid w:val="00664D80"/>
    <w:rsid w:val="00676441"/>
    <w:rsid w:val="006877AE"/>
    <w:rsid w:val="00693669"/>
    <w:rsid w:val="006A27B5"/>
    <w:rsid w:val="006B108B"/>
    <w:rsid w:val="00722187"/>
    <w:rsid w:val="00742719"/>
    <w:rsid w:val="00796893"/>
    <w:rsid w:val="007B3A04"/>
    <w:rsid w:val="007C19C9"/>
    <w:rsid w:val="007D0C40"/>
    <w:rsid w:val="007E0DE9"/>
    <w:rsid w:val="007E16F2"/>
    <w:rsid w:val="007F00C7"/>
    <w:rsid w:val="00803A69"/>
    <w:rsid w:val="00823F57"/>
    <w:rsid w:val="008243B1"/>
    <w:rsid w:val="00825445"/>
    <w:rsid w:val="00850593"/>
    <w:rsid w:val="0087008C"/>
    <w:rsid w:val="00887586"/>
    <w:rsid w:val="008E2BA6"/>
    <w:rsid w:val="00902B47"/>
    <w:rsid w:val="00904ED2"/>
    <w:rsid w:val="00966BB2"/>
    <w:rsid w:val="009926EA"/>
    <w:rsid w:val="009A6C8F"/>
    <w:rsid w:val="009C4ABF"/>
    <w:rsid w:val="00A01A85"/>
    <w:rsid w:val="00A53050"/>
    <w:rsid w:val="00A625DC"/>
    <w:rsid w:val="00A74872"/>
    <w:rsid w:val="00A8734F"/>
    <w:rsid w:val="00A974F1"/>
    <w:rsid w:val="00AB3FB9"/>
    <w:rsid w:val="00AB5EC4"/>
    <w:rsid w:val="00AD5D3A"/>
    <w:rsid w:val="00AE054A"/>
    <w:rsid w:val="00AE6F02"/>
    <w:rsid w:val="00AF4AF6"/>
    <w:rsid w:val="00B129BE"/>
    <w:rsid w:val="00B20732"/>
    <w:rsid w:val="00B429E0"/>
    <w:rsid w:val="00B66DAA"/>
    <w:rsid w:val="00B700E8"/>
    <w:rsid w:val="00B72BE0"/>
    <w:rsid w:val="00B95938"/>
    <w:rsid w:val="00BB6E41"/>
    <w:rsid w:val="00BC4445"/>
    <w:rsid w:val="00BD72E7"/>
    <w:rsid w:val="00C04208"/>
    <w:rsid w:val="00C07914"/>
    <w:rsid w:val="00C13AA2"/>
    <w:rsid w:val="00C16AE3"/>
    <w:rsid w:val="00C37A0A"/>
    <w:rsid w:val="00C42AA8"/>
    <w:rsid w:val="00C503B1"/>
    <w:rsid w:val="00C54D7E"/>
    <w:rsid w:val="00C656B2"/>
    <w:rsid w:val="00C74625"/>
    <w:rsid w:val="00C85272"/>
    <w:rsid w:val="00C86A46"/>
    <w:rsid w:val="00C95FE6"/>
    <w:rsid w:val="00CA2727"/>
    <w:rsid w:val="00CE211C"/>
    <w:rsid w:val="00CF0225"/>
    <w:rsid w:val="00CF1911"/>
    <w:rsid w:val="00D23A70"/>
    <w:rsid w:val="00D24198"/>
    <w:rsid w:val="00D34CE2"/>
    <w:rsid w:val="00D46E86"/>
    <w:rsid w:val="00D54997"/>
    <w:rsid w:val="00D95EF4"/>
    <w:rsid w:val="00DA0DF4"/>
    <w:rsid w:val="00DA41D1"/>
    <w:rsid w:val="00DC174D"/>
    <w:rsid w:val="00E25577"/>
    <w:rsid w:val="00E362C1"/>
    <w:rsid w:val="00E558B6"/>
    <w:rsid w:val="00E85E1A"/>
    <w:rsid w:val="00EA1E21"/>
    <w:rsid w:val="00EB3C02"/>
    <w:rsid w:val="00EC2601"/>
    <w:rsid w:val="00ED76A5"/>
    <w:rsid w:val="00F2249C"/>
    <w:rsid w:val="00F237F4"/>
    <w:rsid w:val="00F25E72"/>
    <w:rsid w:val="00F479E0"/>
    <w:rsid w:val="00F55141"/>
    <w:rsid w:val="00F60042"/>
    <w:rsid w:val="00F64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7348F"/>
  <w14:defaultImageDpi w14:val="300"/>
  <w15:chartTrackingRefBased/>
  <w15:docId w15:val="{4B105663-1380-42CD-AD1A-7684598B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7C19C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
    <w:name w:val="Double Indent"/>
    <w:basedOn w:val="Normal"/>
    <w:rsid w:val="007C19C9"/>
    <w:pPr>
      <w:ind w:left="720" w:right="720"/>
    </w:pPr>
  </w:style>
  <w:style w:type="character" w:styleId="Hyperlink">
    <w:name w:val="Hyperlink"/>
    <w:rsid w:val="003776C0"/>
    <w:rPr>
      <w:color w:val="0000FF"/>
      <w:u w:val="single"/>
    </w:rPr>
  </w:style>
  <w:style w:type="paragraph" w:styleId="Header">
    <w:name w:val="header"/>
    <w:basedOn w:val="Normal"/>
    <w:rsid w:val="00645C67"/>
    <w:pPr>
      <w:tabs>
        <w:tab w:val="center" w:pos="4320"/>
        <w:tab w:val="right" w:pos="8640"/>
      </w:tabs>
    </w:pPr>
  </w:style>
  <w:style w:type="paragraph" w:styleId="Footer">
    <w:name w:val="footer"/>
    <w:basedOn w:val="Normal"/>
    <w:rsid w:val="00645C67"/>
    <w:pPr>
      <w:tabs>
        <w:tab w:val="center" w:pos="4320"/>
        <w:tab w:val="right" w:pos="8640"/>
      </w:tabs>
    </w:pPr>
  </w:style>
  <w:style w:type="paragraph" w:styleId="BalloonText">
    <w:name w:val="Balloon Text"/>
    <w:basedOn w:val="Normal"/>
    <w:semiHidden/>
    <w:rsid w:val="00BB6E41"/>
    <w:rPr>
      <w:rFonts w:ascii="Tahoma" w:hAnsi="Tahoma" w:cs="Tahoma"/>
      <w:sz w:val="16"/>
      <w:szCs w:val="16"/>
    </w:rPr>
  </w:style>
  <w:style w:type="character" w:styleId="Emphasis">
    <w:name w:val="Emphasis"/>
    <w:uiPriority w:val="20"/>
    <w:qFormat/>
    <w:rsid w:val="00C13AA2"/>
    <w:rPr>
      <w:i/>
      <w:iCs/>
    </w:rPr>
  </w:style>
  <w:style w:type="character" w:customStyle="1" w:styleId="cosearchterm">
    <w:name w:val="co_searchterm"/>
    <w:rsid w:val="00C13AA2"/>
  </w:style>
  <w:style w:type="character" w:customStyle="1" w:styleId="copinpointicon">
    <w:name w:val="co_pinpointicon"/>
    <w:rsid w:val="00C13AA2"/>
  </w:style>
  <w:style w:type="table" w:styleId="TableGrid">
    <w:name w:val="Table Grid"/>
    <w:basedOn w:val="TableNormal"/>
    <w:uiPriority w:val="59"/>
    <w:rsid w:val="004F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w@douce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Andrew J</vt:lpstr>
    </vt:vector>
  </TitlesOfParts>
  <Company>Lane, Alton &amp; Horst</Company>
  <LinksUpToDate>false</LinksUpToDate>
  <CharactersWithSpaces>7108</CharactersWithSpaces>
  <SharedDoc>false</SharedDoc>
  <HLinks>
    <vt:vector size="6" baseType="variant">
      <vt:variant>
        <vt:i4>2162714</vt:i4>
      </vt:variant>
      <vt:variant>
        <vt:i4>0</vt:i4>
      </vt:variant>
      <vt:variant>
        <vt:i4>0</vt:i4>
      </vt:variant>
      <vt:variant>
        <vt:i4>5</vt:i4>
      </vt:variant>
      <vt:variant>
        <vt:lpwstr>mailto:andrew@doucet.law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J</dc:title>
  <dc:subject/>
  <dc:creator>LAH User</dc:creator>
  <cp:keywords/>
  <cp:lastModifiedBy>Andrew Gerling</cp:lastModifiedBy>
  <cp:revision>2</cp:revision>
  <cp:lastPrinted>2018-10-26T17:59:00Z</cp:lastPrinted>
  <dcterms:created xsi:type="dcterms:W3CDTF">2023-01-07T17:59:00Z</dcterms:created>
  <dcterms:modified xsi:type="dcterms:W3CDTF">2023-01-07T17:59:00Z</dcterms:modified>
</cp:coreProperties>
</file>